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0FAB" w14:textId="5DBC2401" w:rsidR="00AB7754" w:rsidRPr="00AB7754" w:rsidRDefault="00AB7754" w:rsidP="00AB7754">
      <w:pPr>
        <w:jc w:val="center"/>
        <w:rPr>
          <w:b/>
          <w:bCs/>
          <w:sz w:val="24"/>
          <w:szCs w:val="24"/>
          <w:u w:val="single"/>
        </w:rPr>
      </w:pPr>
      <w:r w:rsidRPr="00AB7754">
        <w:rPr>
          <w:b/>
          <w:bCs/>
          <w:sz w:val="24"/>
          <w:szCs w:val="24"/>
          <w:u w:val="single"/>
        </w:rPr>
        <w:t>What is Maladministration</w:t>
      </w:r>
      <w:r>
        <w:rPr>
          <w:b/>
          <w:bCs/>
          <w:sz w:val="24"/>
          <w:szCs w:val="24"/>
          <w:u w:val="single"/>
        </w:rPr>
        <w:t xml:space="preserve"> within Statutory Assessments</w:t>
      </w:r>
      <w:r w:rsidRPr="00AB7754">
        <w:rPr>
          <w:b/>
          <w:bCs/>
          <w:sz w:val="24"/>
          <w:szCs w:val="24"/>
          <w:u w:val="single"/>
        </w:rPr>
        <w:t>?</w:t>
      </w:r>
    </w:p>
    <w:p w14:paraId="7343297D" w14:textId="05271368" w:rsidR="00AB7754" w:rsidRDefault="00AB7754" w:rsidP="00AB7754">
      <w:pPr>
        <w:jc w:val="center"/>
        <w:rPr>
          <w:b/>
          <w:bCs/>
          <w:sz w:val="24"/>
          <w:szCs w:val="24"/>
          <w:u w:val="single"/>
        </w:rPr>
      </w:pPr>
      <w:r w:rsidRPr="00AB7754">
        <w:rPr>
          <w:b/>
          <w:bCs/>
          <w:sz w:val="24"/>
          <w:szCs w:val="24"/>
          <w:u w:val="single"/>
        </w:rPr>
        <w:t>Knowing what it is, helps to avoid it</w:t>
      </w:r>
      <w:r>
        <w:rPr>
          <w:b/>
          <w:bCs/>
          <w:sz w:val="24"/>
          <w:szCs w:val="24"/>
          <w:u w:val="single"/>
        </w:rPr>
        <w:t>!</w:t>
      </w:r>
    </w:p>
    <w:p w14:paraId="4BC56670" w14:textId="6EF7BBFD" w:rsidR="00AB7754" w:rsidRDefault="00AB7754" w:rsidP="00AB7754">
      <w:pPr>
        <w:jc w:val="center"/>
        <w:rPr>
          <w:b/>
          <w:bCs/>
          <w:sz w:val="24"/>
          <w:szCs w:val="24"/>
          <w:u w:val="single"/>
        </w:rPr>
      </w:pPr>
    </w:p>
    <w:p w14:paraId="1462A5AC" w14:textId="77777777" w:rsidR="00AB7754" w:rsidRPr="00840D7E" w:rsidRDefault="00AB7754" w:rsidP="00AB7754">
      <w:pPr>
        <w:rPr>
          <w:sz w:val="24"/>
          <w:szCs w:val="24"/>
        </w:rPr>
      </w:pPr>
      <w:r w:rsidRPr="00840D7E">
        <w:rPr>
          <w:sz w:val="24"/>
          <w:szCs w:val="24"/>
        </w:rPr>
        <w:t xml:space="preserve">Maladministration of the PSC, KS1, MTC or KS2 tests can be unintentional as well as intentional. It can include: </w:t>
      </w:r>
    </w:p>
    <w:p w14:paraId="21D009BA" w14:textId="77777777" w:rsidR="00AB7754" w:rsidRPr="00840D7E" w:rsidRDefault="00AB7754" w:rsidP="00AB7754">
      <w:pPr>
        <w:ind w:left="720"/>
        <w:rPr>
          <w:sz w:val="24"/>
          <w:szCs w:val="24"/>
        </w:rPr>
      </w:pPr>
      <w:r w:rsidRPr="00840D7E">
        <w:rPr>
          <w:sz w:val="24"/>
          <w:szCs w:val="24"/>
        </w:rPr>
        <w:t xml:space="preserve">• early opening of test papers or PSC materials without permission </w:t>
      </w:r>
    </w:p>
    <w:p w14:paraId="5A82C00B" w14:textId="77777777" w:rsidR="00AB7754" w:rsidRPr="00840D7E" w:rsidRDefault="00AB7754" w:rsidP="00AB7754">
      <w:pPr>
        <w:ind w:left="720"/>
        <w:rPr>
          <w:sz w:val="24"/>
          <w:szCs w:val="24"/>
        </w:rPr>
      </w:pPr>
      <w:r w:rsidRPr="00840D7E">
        <w:rPr>
          <w:sz w:val="24"/>
          <w:szCs w:val="24"/>
        </w:rPr>
        <w:t xml:space="preserve">• pupils being over-aided by test administrators </w:t>
      </w:r>
    </w:p>
    <w:p w14:paraId="72E1164D" w14:textId="77777777" w:rsidR="00AB7754" w:rsidRPr="00840D7E" w:rsidRDefault="00AB7754" w:rsidP="00AB7754">
      <w:pPr>
        <w:ind w:left="720"/>
        <w:rPr>
          <w:sz w:val="24"/>
          <w:szCs w:val="24"/>
        </w:rPr>
      </w:pPr>
      <w:r w:rsidRPr="00840D7E">
        <w:rPr>
          <w:sz w:val="24"/>
          <w:szCs w:val="24"/>
        </w:rPr>
        <w:t xml:space="preserve">• pupils cheating </w:t>
      </w:r>
    </w:p>
    <w:p w14:paraId="619A3648" w14:textId="77777777" w:rsidR="00AB7754" w:rsidRPr="00840D7E" w:rsidRDefault="00AB7754" w:rsidP="00AB7754">
      <w:pPr>
        <w:ind w:left="720"/>
        <w:rPr>
          <w:sz w:val="24"/>
          <w:szCs w:val="24"/>
        </w:rPr>
      </w:pPr>
      <w:r w:rsidRPr="00840D7E">
        <w:rPr>
          <w:sz w:val="24"/>
          <w:szCs w:val="24"/>
        </w:rPr>
        <w:t xml:space="preserve">• schools allowing pupils to </w:t>
      </w:r>
      <w:proofErr w:type="spellStart"/>
      <w:r w:rsidRPr="00840D7E">
        <w:rPr>
          <w:sz w:val="24"/>
          <w:szCs w:val="24"/>
        </w:rPr>
        <w:t>resit</w:t>
      </w:r>
      <w:proofErr w:type="spellEnd"/>
      <w:r w:rsidRPr="00840D7E">
        <w:rPr>
          <w:sz w:val="24"/>
          <w:szCs w:val="24"/>
        </w:rPr>
        <w:t xml:space="preserve"> a test or the PSC </w:t>
      </w:r>
    </w:p>
    <w:p w14:paraId="3EC1D935" w14:textId="77777777" w:rsidR="00AB7754" w:rsidRPr="00840D7E" w:rsidRDefault="00AB7754" w:rsidP="00AB7754">
      <w:pPr>
        <w:ind w:left="720"/>
        <w:rPr>
          <w:sz w:val="24"/>
          <w:szCs w:val="24"/>
        </w:rPr>
      </w:pPr>
      <w:r w:rsidRPr="00840D7E">
        <w:rPr>
          <w:sz w:val="24"/>
          <w:szCs w:val="24"/>
        </w:rPr>
        <w:t xml:space="preserve">• changes being made to pupils’ test scripts outside of test conditions </w:t>
      </w:r>
    </w:p>
    <w:p w14:paraId="30F3C8EE" w14:textId="15BE2E35" w:rsidR="00AB7754" w:rsidRPr="00840D7E" w:rsidRDefault="00AB7754" w:rsidP="00AB7754">
      <w:pPr>
        <w:ind w:left="720"/>
        <w:rPr>
          <w:sz w:val="24"/>
          <w:szCs w:val="24"/>
        </w:rPr>
      </w:pPr>
      <w:r w:rsidRPr="00840D7E">
        <w:rPr>
          <w:sz w:val="24"/>
          <w:szCs w:val="24"/>
        </w:rPr>
        <w:t>• schools reporting pupils’ PSC scores incorrectly</w:t>
      </w:r>
    </w:p>
    <w:p w14:paraId="3BFF53B0" w14:textId="4D3A55C3" w:rsidR="00AB7754" w:rsidRPr="00840D7E" w:rsidRDefault="00AB7754" w:rsidP="00AB7754">
      <w:pPr>
        <w:ind w:left="720"/>
        <w:rPr>
          <w:sz w:val="24"/>
          <w:szCs w:val="24"/>
        </w:rPr>
      </w:pPr>
    </w:p>
    <w:p w14:paraId="15A53EED" w14:textId="1CDB9804" w:rsidR="00AB7754" w:rsidRPr="00840D7E" w:rsidRDefault="00AB7754" w:rsidP="00AB7754">
      <w:pPr>
        <w:rPr>
          <w:sz w:val="24"/>
          <w:szCs w:val="24"/>
        </w:rPr>
      </w:pPr>
    </w:p>
    <w:p w14:paraId="4F746C2D" w14:textId="77777777" w:rsidR="00AB7754" w:rsidRPr="00840D7E" w:rsidRDefault="00AB7754" w:rsidP="00AB7754">
      <w:pPr>
        <w:rPr>
          <w:sz w:val="24"/>
          <w:szCs w:val="24"/>
        </w:rPr>
      </w:pPr>
      <w:r w:rsidRPr="00840D7E">
        <w:rPr>
          <w:sz w:val="24"/>
          <w:szCs w:val="24"/>
        </w:rPr>
        <w:t xml:space="preserve">When there is doubt about the accuracy of pupils’ results, STA can make the following decisions for individual pupils, groups of pupils or the whole cohort for the relevant year group </w:t>
      </w:r>
    </w:p>
    <w:p w14:paraId="43DE677F" w14:textId="77777777" w:rsidR="00AB7754" w:rsidRPr="00840D7E" w:rsidRDefault="00AB7754" w:rsidP="00AB7754">
      <w:pPr>
        <w:rPr>
          <w:sz w:val="24"/>
          <w:szCs w:val="24"/>
        </w:rPr>
      </w:pPr>
    </w:p>
    <w:tbl>
      <w:tblPr>
        <w:tblStyle w:val="TableGrid"/>
        <w:tblW w:w="0" w:type="auto"/>
        <w:tblLook w:val="04A0" w:firstRow="1" w:lastRow="0" w:firstColumn="1" w:lastColumn="0" w:noHBand="0" w:noVBand="1"/>
      </w:tblPr>
      <w:tblGrid>
        <w:gridCol w:w="2405"/>
        <w:gridCol w:w="8051"/>
      </w:tblGrid>
      <w:tr w:rsidR="00AB7754" w:rsidRPr="00840D7E" w14:paraId="07B0B416" w14:textId="77777777" w:rsidTr="00AB7754">
        <w:tc>
          <w:tcPr>
            <w:tcW w:w="2405" w:type="dxa"/>
            <w:shd w:val="clear" w:color="auto" w:fill="F2F2F2" w:themeFill="background1" w:themeFillShade="F2"/>
          </w:tcPr>
          <w:p w14:paraId="4D7861CE" w14:textId="45FD5BB4" w:rsidR="00AB7754" w:rsidRPr="00840D7E" w:rsidRDefault="00AB7754" w:rsidP="00AB7754">
            <w:pPr>
              <w:rPr>
                <w:b/>
                <w:bCs/>
                <w:sz w:val="24"/>
                <w:szCs w:val="24"/>
              </w:rPr>
            </w:pPr>
            <w:r w:rsidRPr="00840D7E">
              <w:rPr>
                <w:b/>
                <w:bCs/>
                <w:sz w:val="24"/>
                <w:szCs w:val="24"/>
              </w:rPr>
              <w:t>Assessment</w:t>
            </w:r>
          </w:p>
        </w:tc>
        <w:tc>
          <w:tcPr>
            <w:tcW w:w="8051" w:type="dxa"/>
            <w:shd w:val="clear" w:color="auto" w:fill="F2F2F2" w:themeFill="background1" w:themeFillShade="F2"/>
          </w:tcPr>
          <w:p w14:paraId="1E4CE9C4" w14:textId="351E38E5" w:rsidR="00AB7754" w:rsidRPr="00840D7E" w:rsidRDefault="00AB7754" w:rsidP="00AB7754">
            <w:pPr>
              <w:rPr>
                <w:b/>
                <w:bCs/>
                <w:sz w:val="24"/>
                <w:szCs w:val="24"/>
              </w:rPr>
            </w:pPr>
            <w:r w:rsidRPr="00840D7E">
              <w:rPr>
                <w:b/>
                <w:bCs/>
                <w:sz w:val="24"/>
                <w:szCs w:val="24"/>
              </w:rPr>
              <w:t>Potential decisions</w:t>
            </w:r>
          </w:p>
        </w:tc>
      </w:tr>
      <w:tr w:rsidR="00AB7754" w:rsidRPr="00840D7E" w14:paraId="7A3BB843" w14:textId="77777777" w:rsidTr="00AB7754">
        <w:tc>
          <w:tcPr>
            <w:tcW w:w="2405" w:type="dxa"/>
          </w:tcPr>
          <w:p w14:paraId="20F96618" w14:textId="46A9BA28" w:rsidR="00AB7754" w:rsidRPr="00840D7E" w:rsidRDefault="00AB7754" w:rsidP="00AB7754">
            <w:pPr>
              <w:rPr>
                <w:sz w:val="24"/>
                <w:szCs w:val="24"/>
              </w:rPr>
            </w:pPr>
            <w:r w:rsidRPr="00840D7E">
              <w:rPr>
                <w:sz w:val="24"/>
                <w:szCs w:val="24"/>
              </w:rPr>
              <w:t>PSC</w:t>
            </w:r>
          </w:p>
        </w:tc>
        <w:tc>
          <w:tcPr>
            <w:tcW w:w="8051" w:type="dxa"/>
          </w:tcPr>
          <w:p w14:paraId="1ACE5FBE" w14:textId="2DEE1F48" w:rsidR="00AB7754" w:rsidRPr="00840D7E" w:rsidRDefault="00AB7754" w:rsidP="00AB7754">
            <w:pPr>
              <w:rPr>
                <w:sz w:val="24"/>
                <w:szCs w:val="24"/>
              </w:rPr>
            </w:pPr>
            <w:r w:rsidRPr="00840D7E">
              <w:rPr>
                <w:sz w:val="24"/>
                <w:szCs w:val="24"/>
              </w:rPr>
              <w:t>Amend or annul. If pupils are in year 1, they will have the opportunity to take the PSC again the following year. Pupils in year 2 will not be able to retake the check in future years</w:t>
            </w:r>
          </w:p>
        </w:tc>
      </w:tr>
      <w:tr w:rsidR="00AB7754" w:rsidRPr="00840D7E" w14:paraId="02D730B3" w14:textId="77777777" w:rsidTr="00AB7754">
        <w:tc>
          <w:tcPr>
            <w:tcW w:w="2405" w:type="dxa"/>
          </w:tcPr>
          <w:p w14:paraId="6018E40A" w14:textId="525B7964" w:rsidR="00AB7754" w:rsidRPr="00840D7E" w:rsidRDefault="00AB7754" w:rsidP="00AB7754">
            <w:pPr>
              <w:rPr>
                <w:sz w:val="24"/>
                <w:szCs w:val="24"/>
              </w:rPr>
            </w:pPr>
            <w:r w:rsidRPr="00840D7E">
              <w:rPr>
                <w:sz w:val="24"/>
                <w:szCs w:val="24"/>
              </w:rPr>
              <w:t>KS1 tests</w:t>
            </w:r>
          </w:p>
        </w:tc>
        <w:tc>
          <w:tcPr>
            <w:tcW w:w="8051" w:type="dxa"/>
          </w:tcPr>
          <w:p w14:paraId="35F13DA8" w14:textId="1BB08981" w:rsidR="00AB7754" w:rsidRPr="00840D7E" w:rsidRDefault="00AB7754" w:rsidP="00AB7754">
            <w:pPr>
              <w:rPr>
                <w:sz w:val="24"/>
                <w:szCs w:val="24"/>
              </w:rPr>
            </w:pPr>
            <w:r w:rsidRPr="00840D7E">
              <w:rPr>
                <w:sz w:val="24"/>
                <w:szCs w:val="24"/>
              </w:rPr>
              <w:t>Amend or annul KS1 test results. These cannot be used to support TA if annulled.</w:t>
            </w:r>
          </w:p>
        </w:tc>
      </w:tr>
      <w:tr w:rsidR="00AB7754" w:rsidRPr="00840D7E" w14:paraId="0EDBEC31" w14:textId="77777777" w:rsidTr="00AB7754">
        <w:tc>
          <w:tcPr>
            <w:tcW w:w="2405" w:type="dxa"/>
          </w:tcPr>
          <w:p w14:paraId="1473EE44" w14:textId="1E084ED4" w:rsidR="00AB7754" w:rsidRPr="00840D7E" w:rsidRDefault="00AB7754" w:rsidP="00AB7754">
            <w:pPr>
              <w:rPr>
                <w:sz w:val="24"/>
                <w:szCs w:val="24"/>
              </w:rPr>
            </w:pPr>
            <w:r w:rsidRPr="00840D7E">
              <w:rPr>
                <w:sz w:val="24"/>
                <w:szCs w:val="24"/>
              </w:rPr>
              <w:t>KS2 tests</w:t>
            </w:r>
          </w:p>
        </w:tc>
        <w:tc>
          <w:tcPr>
            <w:tcW w:w="8051" w:type="dxa"/>
          </w:tcPr>
          <w:p w14:paraId="3E8852C4" w14:textId="4B4BF3DC" w:rsidR="00AB7754" w:rsidRPr="00840D7E" w:rsidRDefault="00AB7754" w:rsidP="00AB7754">
            <w:pPr>
              <w:rPr>
                <w:sz w:val="24"/>
                <w:szCs w:val="24"/>
              </w:rPr>
            </w:pPr>
            <w:r w:rsidRPr="00840D7E">
              <w:rPr>
                <w:sz w:val="24"/>
                <w:szCs w:val="24"/>
              </w:rPr>
              <w:t>Amend or annul KS2 test results</w:t>
            </w:r>
          </w:p>
        </w:tc>
      </w:tr>
      <w:tr w:rsidR="00AB7754" w:rsidRPr="00840D7E" w14:paraId="1AFF54F9" w14:textId="77777777" w:rsidTr="00AB7754">
        <w:tc>
          <w:tcPr>
            <w:tcW w:w="2405" w:type="dxa"/>
          </w:tcPr>
          <w:p w14:paraId="2600D61D" w14:textId="430E539A" w:rsidR="00AB7754" w:rsidRPr="00840D7E" w:rsidRDefault="00AB7754" w:rsidP="00AB7754">
            <w:pPr>
              <w:rPr>
                <w:sz w:val="24"/>
                <w:szCs w:val="24"/>
              </w:rPr>
            </w:pPr>
            <w:r w:rsidRPr="00840D7E">
              <w:rPr>
                <w:sz w:val="24"/>
                <w:szCs w:val="24"/>
              </w:rPr>
              <w:t>TA KS1 and KS2</w:t>
            </w:r>
          </w:p>
        </w:tc>
        <w:tc>
          <w:tcPr>
            <w:tcW w:w="8051" w:type="dxa"/>
          </w:tcPr>
          <w:p w14:paraId="0922E6DD" w14:textId="6EFB8435" w:rsidR="00AB7754" w:rsidRPr="00840D7E" w:rsidRDefault="00AB7754" w:rsidP="00AB7754">
            <w:pPr>
              <w:rPr>
                <w:sz w:val="24"/>
                <w:szCs w:val="24"/>
              </w:rPr>
            </w:pPr>
            <w:r w:rsidRPr="00840D7E">
              <w:rPr>
                <w:sz w:val="24"/>
                <w:szCs w:val="24"/>
              </w:rPr>
              <w:t>Amend or annul TA judgements</w:t>
            </w:r>
          </w:p>
        </w:tc>
      </w:tr>
      <w:tr w:rsidR="00AB7754" w:rsidRPr="00840D7E" w14:paraId="16C65537" w14:textId="77777777" w:rsidTr="00AB7754">
        <w:tc>
          <w:tcPr>
            <w:tcW w:w="2405" w:type="dxa"/>
          </w:tcPr>
          <w:p w14:paraId="506BA022" w14:textId="5065724B" w:rsidR="00AB7754" w:rsidRPr="00840D7E" w:rsidRDefault="00AB7754" w:rsidP="00AB7754">
            <w:pPr>
              <w:rPr>
                <w:sz w:val="24"/>
                <w:szCs w:val="24"/>
              </w:rPr>
            </w:pPr>
            <w:r w:rsidRPr="00840D7E">
              <w:rPr>
                <w:sz w:val="24"/>
                <w:szCs w:val="24"/>
              </w:rPr>
              <w:t>MTC</w:t>
            </w:r>
          </w:p>
        </w:tc>
        <w:tc>
          <w:tcPr>
            <w:tcW w:w="8051" w:type="dxa"/>
          </w:tcPr>
          <w:p w14:paraId="4BEB23B9" w14:textId="6260F5AC" w:rsidR="00AB7754" w:rsidRPr="00840D7E" w:rsidRDefault="00AB7754" w:rsidP="00AB7754">
            <w:pPr>
              <w:rPr>
                <w:sz w:val="24"/>
                <w:szCs w:val="24"/>
              </w:rPr>
            </w:pPr>
            <w:r w:rsidRPr="00840D7E">
              <w:rPr>
                <w:sz w:val="24"/>
                <w:szCs w:val="24"/>
              </w:rPr>
              <w:t>Whole check will be annulled</w:t>
            </w:r>
          </w:p>
        </w:tc>
      </w:tr>
    </w:tbl>
    <w:p w14:paraId="079FEFEF" w14:textId="77777777" w:rsidR="00AB7754" w:rsidRPr="00840D7E" w:rsidRDefault="00AB7754" w:rsidP="00AB7754">
      <w:pPr>
        <w:rPr>
          <w:sz w:val="24"/>
          <w:szCs w:val="24"/>
        </w:rPr>
      </w:pPr>
    </w:p>
    <w:p w14:paraId="2F63812F" w14:textId="43EBB6A9" w:rsidR="00AB7754" w:rsidRDefault="00AB7754" w:rsidP="00AB7754">
      <w:pPr>
        <w:rPr>
          <w:sz w:val="24"/>
          <w:szCs w:val="24"/>
        </w:rPr>
      </w:pPr>
      <w:r w:rsidRPr="00840D7E">
        <w:rPr>
          <w:sz w:val="24"/>
          <w:szCs w:val="24"/>
        </w:rPr>
        <w:t xml:space="preserve"> Any decision to amend, annul or discount pupils’ results is final and there is no right of appeal</w:t>
      </w:r>
      <w:r w:rsidR="00840D7E" w:rsidRPr="00840D7E">
        <w:rPr>
          <w:sz w:val="24"/>
          <w:szCs w:val="24"/>
        </w:rPr>
        <w:t>. Therefore, considering this guidance may well support your schools’ test processes.</w:t>
      </w:r>
    </w:p>
    <w:p w14:paraId="44CB4876" w14:textId="45A7B341" w:rsidR="00C51048" w:rsidRDefault="00C51048" w:rsidP="00AB7754">
      <w:pPr>
        <w:rPr>
          <w:sz w:val="24"/>
          <w:szCs w:val="24"/>
        </w:rPr>
      </w:pPr>
    </w:p>
    <w:p w14:paraId="4D949D07" w14:textId="13C297AE" w:rsidR="00C51048" w:rsidRPr="00840D7E" w:rsidRDefault="004B2F88" w:rsidP="00A21B6D">
      <w:pPr>
        <w:rPr>
          <w:sz w:val="24"/>
          <w:szCs w:val="24"/>
        </w:rPr>
      </w:pPr>
      <w:hyperlink r:id="rId9" w:history="1">
        <w:r w:rsidR="00A21B6D">
          <w:rPr>
            <w:rStyle w:val="Hyperlink"/>
          </w:rPr>
          <w:t>Key stages 1 and 2: investigating allegations of maladministration - GOV.UK (www.gov.uk)</w:t>
        </w:r>
      </w:hyperlink>
    </w:p>
    <w:sectPr w:rsidR="00C51048" w:rsidRPr="00840D7E" w:rsidSect="00AB775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888E" w14:textId="77777777" w:rsidR="00B52447" w:rsidRDefault="00B52447" w:rsidP="00B52447">
      <w:r>
        <w:separator/>
      </w:r>
    </w:p>
  </w:endnote>
  <w:endnote w:type="continuationSeparator" w:id="0">
    <w:p w14:paraId="4291214B" w14:textId="77777777" w:rsidR="00B52447" w:rsidRDefault="00B52447" w:rsidP="00B5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7617" w14:textId="77777777" w:rsidR="00B52447" w:rsidRDefault="00B52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0E68" w14:textId="2DB10EB7" w:rsidR="00B52447" w:rsidRDefault="00B52447" w:rsidP="00B52447">
    <w:pPr>
      <w:pStyle w:val="Footer"/>
    </w:pPr>
    <w:bookmarkStart w:id="8" w:name="_Hlk127366013"/>
    <w:bookmarkStart w:id="9" w:name="_Hlk127366014"/>
    <w:bookmarkStart w:id="10" w:name="_Hlk127366054"/>
    <w:bookmarkStart w:id="11" w:name="_Hlk127366055"/>
    <w:bookmarkStart w:id="12" w:name="_Hlk127366073"/>
    <w:bookmarkStart w:id="13" w:name="_Hlk127366074"/>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B52447" w14:paraId="400A4E24" w14:textId="77777777" w:rsidTr="00592F7F">
      <w:tc>
        <w:tcPr>
          <w:tcW w:w="5316" w:type="dxa"/>
          <w:vAlign w:val="center"/>
        </w:tcPr>
        <w:p w14:paraId="3A417224" w14:textId="77777777" w:rsidR="00B52447" w:rsidRPr="00F930AA" w:rsidRDefault="004B2F88" w:rsidP="00B52447">
          <w:pPr>
            <w:pStyle w:val="Footer"/>
            <w:rPr>
              <w:color w:val="FF0000"/>
            </w:rPr>
          </w:pPr>
          <w:hyperlink r:id="rId1" w:history="1">
            <w:r w:rsidR="00B52447">
              <w:rPr>
                <w:rStyle w:val="Hyperlink"/>
                <w:rFonts w:cs="Arial"/>
              </w:rPr>
              <w:t>devon.cc/</w:t>
            </w:r>
            <w:proofErr w:type="spellStart"/>
            <w:r w:rsidR="00B52447">
              <w:rPr>
                <w:rStyle w:val="Hyperlink"/>
                <w:rFonts w:cs="Arial"/>
              </w:rPr>
              <w:t>english</w:t>
            </w:r>
            <w:proofErr w:type="spellEnd"/>
          </w:hyperlink>
        </w:p>
      </w:tc>
      <w:tc>
        <w:tcPr>
          <w:tcW w:w="5316" w:type="dxa"/>
          <w:vAlign w:val="center"/>
        </w:tcPr>
        <w:p w14:paraId="7BC4980E" w14:textId="77777777" w:rsidR="00B52447" w:rsidRDefault="00B52447" w:rsidP="00B52447">
          <w:pPr>
            <w:pStyle w:val="Footer"/>
            <w:jc w:val="right"/>
          </w:pPr>
          <w:r>
            <w:rPr>
              <w:noProof/>
            </w:rPr>
            <w:drawing>
              <wp:inline distT="0" distB="0" distL="0" distR="0" wp14:anchorId="01A1E36D" wp14:editId="392AE6D7">
                <wp:extent cx="2276190" cy="447619"/>
                <wp:effectExtent l="0" t="0" r="0" b="0"/>
                <wp:docPr id="2" name="Picture 2" descr="copyright Devon County Council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right Devon County Council and logo"/>
                        <pic:cNvPicPr/>
                      </pic:nvPicPr>
                      <pic:blipFill>
                        <a:blip r:embed="rId2">
                          <a:extLst>
                            <a:ext uri="{28A0092B-C50C-407E-A947-70E740481C1C}">
                              <a14:useLocalDpi xmlns:a14="http://schemas.microsoft.com/office/drawing/2010/main" val="0"/>
                            </a:ext>
                          </a:extLst>
                        </a:blip>
                        <a:stretch>
                          <a:fillRect/>
                        </a:stretch>
                      </pic:blipFill>
                      <pic:spPr>
                        <a:xfrm>
                          <a:off x="0" y="0"/>
                          <a:ext cx="2276190" cy="447619"/>
                        </a:xfrm>
                        <a:prstGeom prst="rect">
                          <a:avLst/>
                        </a:prstGeom>
                      </pic:spPr>
                    </pic:pic>
                  </a:graphicData>
                </a:graphic>
              </wp:inline>
            </w:drawing>
          </w:r>
        </w:p>
      </w:tc>
    </w:tr>
    <w:bookmarkEnd w:id="8"/>
    <w:bookmarkEnd w:id="9"/>
    <w:bookmarkEnd w:id="10"/>
    <w:bookmarkEnd w:id="11"/>
    <w:bookmarkEnd w:id="12"/>
    <w:bookmarkEnd w:id="13"/>
  </w:tbl>
  <w:p w14:paraId="1EC72293" w14:textId="221F8153" w:rsidR="00B52447" w:rsidRDefault="00B52447">
    <w:pPr>
      <w:pStyle w:val="Footer"/>
    </w:pPr>
  </w:p>
  <w:p w14:paraId="569C8FB6" w14:textId="77777777" w:rsidR="00B52447" w:rsidRDefault="00B52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5DE8" w14:textId="77777777" w:rsidR="00B52447" w:rsidRDefault="00B52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B1FF" w14:textId="77777777" w:rsidR="00B52447" w:rsidRDefault="00B52447" w:rsidP="00B52447">
      <w:r>
        <w:separator/>
      </w:r>
    </w:p>
  </w:footnote>
  <w:footnote w:type="continuationSeparator" w:id="0">
    <w:p w14:paraId="3ADD9388" w14:textId="77777777" w:rsidR="00B52447" w:rsidRDefault="00B52447" w:rsidP="00B5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C0F7" w14:textId="77777777" w:rsidR="00B52447" w:rsidRDefault="00B52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980A" w14:textId="77777777" w:rsidR="00B52447" w:rsidRPr="00AF3E94" w:rsidRDefault="00B52447" w:rsidP="00B52447">
    <w:pPr>
      <w:pStyle w:val="Header"/>
      <w:rPr>
        <w:b/>
      </w:rPr>
    </w:pPr>
    <w:bookmarkStart w:id="0" w:name="_Hlk127365942"/>
    <w:bookmarkStart w:id="1" w:name="_Hlk127365943"/>
    <w:bookmarkStart w:id="2" w:name="_Hlk127365988"/>
    <w:bookmarkStart w:id="3" w:name="_Hlk127365989"/>
    <w:bookmarkStart w:id="4" w:name="_Hlk127366092"/>
    <w:bookmarkStart w:id="5" w:name="_Hlk127366093"/>
    <w:bookmarkStart w:id="6" w:name="_Hlk127366328"/>
    <w:bookmarkStart w:id="7" w:name="_Hlk127366329"/>
    <w:r>
      <w:rPr>
        <w:noProof/>
      </w:rPr>
      <w:drawing>
        <wp:anchor distT="0" distB="0" distL="114300" distR="114300" simplePos="0" relativeHeight="251659264" behindDoc="0" locked="0" layoutInCell="1" allowOverlap="1" wp14:anchorId="1CA21B0D" wp14:editId="3DE68AAA">
          <wp:simplePos x="0" y="0"/>
          <wp:positionH relativeFrom="margin">
            <wp:posOffset>6103620</wp:posOffset>
          </wp:positionH>
          <wp:positionV relativeFrom="paragraph">
            <wp:posOffset>-154486</wp:posOffset>
          </wp:positionV>
          <wp:extent cx="689321" cy="690521"/>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9321" cy="69052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CA25BC8" wp14:editId="13122208">
          <wp:extent cx="1001486" cy="503518"/>
          <wp:effectExtent l="0" t="0" r="8255" b="0"/>
          <wp:docPr id="1" name="Picture 1" descr="Devon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von County Council logo.&#10;"/>
                  <pic:cNvPicPr/>
                </pic:nvPicPr>
                <pic:blipFill>
                  <a:blip r:embed="rId2"/>
                  <a:stretch>
                    <a:fillRect/>
                  </a:stretch>
                </pic:blipFill>
                <pic:spPr>
                  <a:xfrm>
                    <a:off x="0" y="0"/>
                    <a:ext cx="1014117" cy="509869"/>
                  </a:xfrm>
                  <a:prstGeom prst="rect">
                    <a:avLst/>
                  </a:prstGeom>
                </pic:spPr>
              </pic:pic>
            </a:graphicData>
          </a:graphic>
        </wp:inline>
      </w:drawing>
    </w:r>
  </w:p>
  <w:bookmarkEnd w:id="0"/>
  <w:bookmarkEnd w:id="1"/>
  <w:bookmarkEnd w:id="2"/>
  <w:bookmarkEnd w:id="3"/>
  <w:bookmarkEnd w:id="4"/>
  <w:bookmarkEnd w:id="5"/>
  <w:bookmarkEnd w:id="6"/>
  <w:bookmarkEnd w:id="7"/>
  <w:p w14:paraId="7D6FFEF5" w14:textId="77777777" w:rsidR="00B52447" w:rsidRDefault="00B52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BFBD" w14:textId="77777777" w:rsidR="00B52447" w:rsidRDefault="00B524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54"/>
    <w:rsid w:val="000F6B74"/>
    <w:rsid w:val="004B2F88"/>
    <w:rsid w:val="00840D7E"/>
    <w:rsid w:val="00A21B6D"/>
    <w:rsid w:val="00A93082"/>
    <w:rsid w:val="00AB7754"/>
    <w:rsid w:val="00B52447"/>
    <w:rsid w:val="00B540AE"/>
    <w:rsid w:val="00C51048"/>
    <w:rsid w:val="00DF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C1A1"/>
  <w15:chartTrackingRefBased/>
  <w15:docId w15:val="{226A82DB-CC2C-41FF-A27E-8522A678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754"/>
    <w:rPr>
      <w:color w:val="0563C1" w:themeColor="hyperlink"/>
      <w:u w:val="single"/>
    </w:rPr>
  </w:style>
  <w:style w:type="character" w:styleId="UnresolvedMention">
    <w:name w:val="Unresolved Mention"/>
    <w:basedOn w:val="DefaultParagraphFont"/>
    <w:uiPriority w:val="99"/>
    <w:semiHidden/>
    <w:unhideWhenUsed/>
    <w:rsid w:val="00AB7754"/>
    <w:rPr>
      <w:color w:val="605E5C"/>
      <w:shd w:val="clear" w:color="auto" w:fill="E1DFDD"/>
    </w:rPr>
  </w:style>
  <w:style w:type="table" w:styleId="TableGrid">
    <w:name w:val="Table Grid"/>
    <w:basedOn w:val="TableNormal"/>
    <w:uiPriority w:val="59"/>
    <w:rsid w:val="00A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447"/>
    <w:pPr>
      <w:tabs>
        <w:tab w:val="center" w:pos="4513"/>
        <w:tab w:val="right" w:pos="9026"/>
      </w:tabs>
    </w:pPr>
  </w:style>
  <w:style w:type="character" w:customStyle="1" w:styleId="HeaderChar">
    <w:name w:val="Header Char"/>
    <w:basedOn w:val="DefaultParagraphFont"/>
    <w:link w:val="Header"/>
    <w:uiPriority w:val="99"/>
    <w:rsid w:val="00B52447"/>
    <w:rPr>
      <w:rFonts w:ascii="Arial" w:hAnsi="Arial"/>
    </w:rPr>
  </w:style>
  <w:style w:type="paragraph" w:styleId="Footer">
    <w:name w:val="footer"/>
    <w:basedOn w:val="Normal"/>
    <w:link w:val="FooterChar"/>
    <w:uiPriority w:val="99"/>
    <w:unhideWhenUsed/>
    <w:rsid w:val="00B52447"/>
    <w:pPr>
      <w:tabs>
        <w:tab w:val="center" w:pos="4513"/>
        <w:tab w:val="right" w:pos="9026"/>
      </w:tabs>
    </w:pPr>
  </w:style>
  <w:style w:type="character" w:customStyle="1" w:styleId="FooterChar">
    <w:name w:val="Footer Char"/>
    <w:basedOn w:val="DefaultParagraphFont"/>
    <w:link w:val="Footer"/>
    <w:uiPriority w:val="99"/>
    <w:rsid w:val="00B5244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key-stages-1-and-2-investigating-allegations-of-maladministr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devon.gov.uk/support-schools-settings/school-effectiveness/teaching-and-learning/curriculum/englis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768DAB3517BE4588B678FAA637A3AC" ma:contentTypeVersion="2" ma:contentTypeDescription="Create a new document." ma:contentTypeScope="" ma:versionID="1fef44df641e2a9afa02b93678ea90b5">
  <xsd:schema xmlns:xsd="http://www.w3.org/2001/XMLSchema" xmlns:xs="http://www.w3.org/2001/XMLSchema" xmlns:p="http://schemas.microsoft.com/office/2006/metadata/properties" xmlns:ns2="35973637-4dfc-4bfe-a19e-8b231390e213" targetNamespace="http://schemas.microsoft.com/office/2006/metadata/properties" ma:root="true" ma:fieldsID="5f8a35efcbed01363aa2d22d4d5d1858" ns2:_="">
    <xsd:import namespace="35973637-4dfc-4bfe-a19e-8b231390e2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73637-4dfc-4bfe-a19e-8b23139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24A52-79D9-4B4E-951E-BCE2E87EA288}">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35973637-4dfc-4bfe-a19e-8b231390e213"/>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7F84FD-22B5-4874-A833-A61EE3AA908C}">
  <ds:schemaRefs>
    <ds:schemaRef ds:uri="http://schemas.microsoft.com/sharepoint/v3/contenttype/forms"/>
  </ds:schemaRefs>
</ds:datastoreItem>
</file>

<file path=customXml/itemProps3.xml><?xml version="1.0" encoding="utf-8"?>
<ds:datastoreItem xmlns:ds="http://schemas.openxmlformats.org/officeDocument/2006/customXml" ds:itemID="{B1949992-1EA0-41E9-81C6-9695A319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73637-4dfc-4bfe-a19e-8b231390e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Dymond</dc:creator>
  <cp:keywords/>
  <dc:description/>
  <cp:lastModifiedBy>Sally Watts</cp:lastModifiedBy>
  <cp:revision>5</cp:revision>
  <dcterms:created xsi:type="dcterms:W3CDTF">2023-01-10T14:12:00Z</dcterms:created>
  <dcterms:modified xsi:type="dcterms:W3CDTF">2023-02-23T15:27:00Z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0x01010014768DAB3517BE4588B678FAA637A3AC</vt:lpwstr>
  </property>
</Properties>
</file>