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FBEB" w14:textId="6AB2D011" w:rsidR="00B119EF" w:rsidRPr="00B119EF" w:rsidRDefault="00B119EF" w:rsidP="00B119E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Headteachers</w:t>
      </w:r>
      <w:r w:rsidR="00235A94">
        <w:rPr>
          <w:b/>
          <w:bCs/>
          <w:sz w:val="32"/>
          <w:szCs w:val="32"/>
        </w:rPr>
        <w:t xml:space="preserve">’ </w:t>
      </w:r>
      <w:r>
        <w:rPr>
          <w:b/>
          <w:bCs/>
          <w:sz w:val="32"/>
          <w:szCs w:val="32"/>
        </w:rPr>
        <w:t>responsibilities (from p1</w:t>
      </w:r>
      <w:r w:rsidR="00235A94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-16 ARA)</w:t>
      </w:r>
    </w:p>
    <w:p w14:paraId="66222156" w14:textId="77777777" w:rsidR="00B119EF" w:rsidRDefault="00B119EF" w:rsidP="00B119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headteachers do not comply with the provisions of this ARA and other published guidance this could result in the school being investigated for maladministration. </w:t>
      </w:r>
    </w:p>
    <w:p w14:paraId="4665DE92" w14:textId="77777777" w:rsidR="00B119EF" w:rsidRDefault="00B119EF" w:rsidP="00B119E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KS2 tests </w:t>
      </w:r>
    </w:p>
    <w:p w14:paraId="4D186A52" w14:textId="77777777" w:rsidR="00B119EF" w:rsidRDefault="00B119EF" w:rsidP="00B119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Headteachers at maintained schools, academies (including free schools) and participating independent schools must: </w:t>
      </w:r>
    </w:p>
    <w:p w14:paraId="3CB3991E" w14:textId="77777777" w:rsidR="00B119EF" w:rsidRDefault="00B119EF" w:rsidP="00B119EF">
      <w:pPr>
        <w:pStyle w:val="Default"/>
        <w:ind w:left="360"/>
        <w:rPr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9"/>
        <w:gridCol w:w="709"/>
      </w:tblGrid>
      <w:tr w:rsidR="00B119EF" w14:paraId="47FFEDE2" w14:textId="77777777" w:rsidTr="00235A94">
        <w:tc>
          <w:tcPr>
            <w:tcW w:w="8959" w:type="dxa"/>
          </w:tcPr>
          <w:p w14:paraId="5105D8C2" w14:textId="77777777" w:rsidR="00B119EF" w:rsidRDefault="00B119EF" w:rsidP="00B119EF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identify which pupils will take the KS2 tests</w:t>
            </w:r>
          </w:p>
        </w:tc>
        <w:tc>
          <w:tcPr>
            <w:tcW w:w="709" w:type="dxa"/>
          </w:tcPr>
          <w:p w14:paraId="6859618B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670FA474" w14:textId="77777777" w:rsidTr="00235A94">
        <w:tc>
          <w:tcPr>
            <w:tcW w:w="8959" w:type="dxa"/>
          </w:tcPr>
          <w:p w14:paraId="4055CF84" w14:textId="3781924B" w:rsidR="00B119EF" w:rsidRDefault="00B119EF" w:rsidP="00B119EF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consider whether any pupils will need modified versions of the tests and, if so, place a test order on Primary Assessment Gateway (PAG)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>by Friday 1</w:t>
            </w:r>
            <w:r w:rsidR="00235A94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 xml:space="preserve">th November </w:t>
            </w:r>
          </w:p>
          <w:p w14:paraId="3706E1AE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1E0CAB2D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1BCADAA4" w14:textId="77777777" w:rsidTr="00235A94">
        <w:tc>
          <w:tcPr>
            <w:tcW w:w="8959" w:type="dxa"/>
          </w:tcPr>
          <w:p w14:paraId="5E24DE70" w14:textId="3A84B77D" w:rsidR="00B119EF" w:rsidRDefault="00B119EF" w:rsidP="00B119EF">
            <w:pPr>
              <w:pStyle w:val="Default"/>
              <w:numPr>
                <w:ilvl w:val="0"/>
                <w:numId w:val="19"/>
              </w:numPr>
              <w:spacing w:after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ensure all pupils are registered for the tests in the PAG ‘by Friday 1</w:t>
            </w:r>
            <w:r w:rsidR="00235A94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th March</w:t>
            </w:r>
            <w:r w:rsidR="00235A94">
              <w:rPr>
                <w:sz w:val="23"/>
                <w:szCs w:val="23"/>
              </w:rPr>
              <w:t xml:space="preserve"> (including pupils who will not participate in the tests see 6.2)</w:t>
            </w:r>
            <w:r>
              <w:rPr>
                <w:sz w:val="23"/>
                <w:szCs w:val="23"/>
              </w:rPr>
              <w:t xml:space="preserve"> and </w:t>
            </w:r>
            <w:r w:rsidR="00235A94">
              <w:rPr>
                <w:sz w:val="23"/>
                <w:szCs w:val="23"/>
              </w:rPr>
              <w:t xml:space="preserve">check </w:t>
            </w:r>
            <w:r>
              <w:rPr>
                <w:sz w:val="23"/>
                <w:szCs w:val="23"/>
              </w:rPr>
              <w:t xml:space="preserve">that each pupil’s details are accurate, including any pupils who are registered at their school, but are attending an AP school (including PRUs) </w:t>
            </w:r>
          </w:p>
          <w:p w14:paraId="477668E5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24A2FCD9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36751028" w14:textId="77777777" w:rsidTr="00235A94">
        <w:tc>
          <w:tcPr>
            <w:tcW w:w="8959" w:type="dxa"/>
          </w:tcPr>
          <w:p w14:paraId="503275D5" w14:textId="4D8AF265" w:rsidR="00B119EF" w:rsidRDefault="00B119EF" w:rsidP="00B119EF">
            <w:pPr>
              <w:pStyle w:val="Default"/>
              <w:numPr>
                <w:ilvl w:val="0"/>
                <w:numId w:val="19"/>
              </w:numPr>
              <w:spacing w:after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register new pupils for the tests if they arrive in school after Friday 1</w:t>
            </w:r>
            <w:r w:rsidR="00235A94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th March </w:t>
            </w:r>
            <w:r w:rsidR="00235A94">
              <w:rPr>
                <w:sz w:val="23"/>
                <w:szCs w:val="23"/>
              </w:rPr>
              <w:t>until Thursday 18</w:t>
            </w:r>
            <w:r w:rsidR="00235A94" w:rsidRPr="00235A94">
              <w:rPr>
                <w:sz w:val="23"/>
                <w:szCs w:val="23"/>
                <w:vertAlign w:val="superscript"/>
              </w:rPr>
              <w:t>th</w:t>
            </w:r>
            <w:r w:rsidR="00235A94">
              <w:rPr>
                <w:sz w:val="23"/>
                <w:szCs w:val="23"/>
              </w:rPr>
              <w:t xml:space="preserve"> May</w:t>
            </w:r>
          </w:p>
          <w:p w14:paraId="3ADF4552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22732592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2ACD61DD" w14:textId="77777777" w:rsidTr="00235A94">
        <w:tc>
          <w:tcPr>
            <w:tcW w:w="8959" w:type="dxa"/>
          </w:tcPr>
          <w:p w14:paraId="43F99843" w14:textId="0550F0F1" w:rsidR="00B119EF" w:rsidRDefault="00B119EF" w:rsidP="00B119EF">
            <w:pPr>
              <w:pStyle w:val="Default"/>
              <w:numPr>
                <w:ilvl w:val="0"/>
                <w:numId w:val="19"/>
              </w:numPr>
              <w:spacing w:after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keep test materials secure and treat them as confidential before, during and after the test period until Friday </w:t>
            </w:r>
            <w:r w:rsidR="00235A94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 xml:space="preserve">th May </w:t>
            </w:r>
          </w:p>
          <w:p w14:paraId="595311FD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62E5F3F8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76EF4850" w14:textId="77777777" w:rsidTr="00235A94">
        <w:tc>
          <w:tcPr>
            <w:tcW w:w="8959" w:type="dxa"/>
          </w:tcPr>
          <w:p w14:paraId="24301CED" w14:textId="4CFAF4B8" w:rsidR="00B119EF" w:rsidRPr="00A056B1" w:rsidRDefault="00B119EF" w:rsidP="00B119EF">
            <w:pPr>
              <w:pStyle w:val="Default"/>
              <w:numPr>
                <w:ilvl w:val="0"/>
                <w:numId w:val="19"/>
              </w:numPr>
              <w:spacing w:after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 able to give an accurate account of everyone with access to test materials from the point they arrive in school until Friday </w:t>
            </w:r>
            <w:r w:rsidR="00235A94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 xml:space="preserve">th May </w:t>
            </w:r>
          </w:p>
        </w:tc>
        <w:tc>
          <w:tcPr>
            <w:tcW w:w="709" w:type="dxa"/>
          </w:tcPr>
          <w:p w14:paraId="64D26811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1C6A3060" w14:textId="77777777" w:rsidTr="00235A94">
        <w:tc>
          <w:tcPr>
            <w:tcW w:w="8959" w:type="dxa"/>
          </w:tcPr>
          <w:p w14:paraId="54B613BB" w14:textId="77777777" w:rsidR="00B119EF" w:rsidRDefault="00B119EF" w:rsidP="00B119EF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ensure specific content from test materials is not used to prepare pupils </w:t>
            </w:r>
          </w:p>
          <w:p w14:paraId="681FD1B6" w14:textId="77777777" w:rsidR="00B119EF" w:rsidRPr="00A056B1" w:rsidRDefault="00B119EF" w:rsidP="00674880">
            <w:pPr>
              <w:pStyle w:val="Default"/>
              <w:ind w:left="720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27BD18B9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43A68AA6" w14:textId="77777777" w:rsidTr="00235A94">
        <w:tc>
          <w:tcPr>
            <w:tcW w:w="8959" w:type="dxa"/>
          </w:tcPr>
          <w:p w14:paraId="30CE8B13" w14:textId="77777777" w:rsidR="00B119EF" w:rsidRDefault="00B119EF" w:rsidP="00B119EF">
            <w:pPr>
              <w:pStyle w:val="Default"/>
              <w:numPr>
                <w:ilvl w:val="0"/>
                <w:numId w:val="19"/>
              </w:numPr>
              <w:spacing w:after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explain to all staff, participating pupils and their parents, how the tests will be administered</w:t>
            </w:r>
          </w:p>
        </w:tc>
        <w:tc>
          <w:tcPr>
            <w:tcW w:w="709" w:type="dxa"/>
          </w:tcPr>
          <w:p w14:paraId="7EBA1437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338EE56F" w14:textId="77777777" w:rsidTr="00235A94">
        <w:tc>
          <w:tcPr>
            <w:tcW w:w="8959" w:type="dxa"/>
          </w:tcPr>
          <w:p w14:paraId="6721E821" w14:textId="77777777" w:rsidR="00B119EF" w:rsidRDefault="00B119EF" w:rsidP="00B119EF">
            <w:pPr>
              <w:pStyle w:val="Default"/>
              <w:numPr>
                <w:ilvl w:val="0"/>
                <w:numId w:val="19"/>
              </w:numPr>
              <w:spacing w:after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ensure sufficient staff are available to administer the tests</w:t>
            </w:r>
          </w:p>
        </w:tc>
        <w:tc>
          <w:tcPr>
            <w:tcW w:w="709" w:type="dxa"/>
          </w:tcPr>
          <w:p w14:paraId="1AD3346C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7B6FC049" w14:textId="77777777" w:rsidTr="00235A94">
        <w:tc>
          <w:tcPr>
            <w:tcW w:w="8959" w:type="dxa"/>
          </w:tcPr>
          <w:p w14:paraId="0C0490C5" w14:textId="47592BDD" w:rsidR="00B119EF" w:rsidRPr="004E1867" w:rsidRDefault="00B119EF" w:rsidP="00B119EF">
            <w:pPr>
              <w:pStyle w:val="Default"/>
              <w:numPr>
                <w:ilvl w:val="0"/>
                <w:numId w:val="19"/>
              </w:numPr>
              <w:spacing w:after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ensure test administrators are appropriately trained </w:t>
            </w:r>
          </w:p>
        </w:tc>
        <w:tc>
          <w:tcPr>
            <w:tcW w:w="709" w:type="dxa"/>
          </w:tcPr>
          <w:p w14:paraId="263286F2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235A94" w14:paraId="55A43213" w14:textId="77777777" w:rsidTr="00235A94">
        <w:tc>
          <w:tcPr>
            <w:tcW w:w="8959" w:type="dxa"/>
          </w:tcPr>
          <w:p w14:paraId="6CF3673E" w14:textId="7B27F7C5" w:rsidR="00235A94" w:rsidRDefault="00235A94" w:rsidP="00B119EF">
            <w:pPr>
              <w:pStyle w:val="Default"/>
              <w:numPr>
                <w:ilvl w:val="0"/>
                <w:numId w:val="19"/>
              </w:numPr>
              <w:spacing w:after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ensure all the tests are administered according to the published guidance</w:t>
            </w:r>
          </w:p>
        </w:tc>
        <w:tc>
          <w:tcPr>
            <w:tcW w:w="709" w:type="dxa"/>
          </w:tcPr>
          <w:p w14:paraId="50CCA35E" w14:textId="77777777" w:rsidR="00235A94" w:rsidRDefault="00235A94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235A94" w14:paraId="1A00AC7D" w14:textId="77777777" w:rsidTr="00235A94">
        <w:tc>
          <w:tcPr>
            <w:tcW w:w="8959" w:type="dxa"/>
          </w:tcPr>
          <w:p w14:paraId="7BB8FEDF" w14:textId="0E74178B" w:rsidR="00235A94" w:rsidRDefault="00235A94" w:rsidP="00B119EF">
            <w:pPr>
              <w:pStyle w:val="Default"/>
              <w:numPr>
                <w:ilvl w:val="0"/>
                <w:numId w:val="19"/>
              </w:numPr>
              <w:spacing w:after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ensure all tests are administered according to the published timetable, unless STA has approved a timetable variation</w:t>
            </w:r>
          </w:p>
        </w:tc>
        <w:tc>
          <w:tcPr>
            <w:tcW w:w="709" w:type="dxa"/>
          </w:tcPr>
          <w:p w14:paraId="0316BA96" w14:textId="77777777" w:rsidR="00235A94" w:rsidRDefault="00235A94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1A04EF38" w14:textId="77777777" w:rsidTr="00235A94">
        <w:tc>
          <w:tcPr>
            <w:tcW w:w="8959" w:type="dxa"/>
          </w:tcPr>
          <w:p w14:paraId="0930B093" w14:textId="77777777" w:rsidR="00B119EF" w:rsidRDefault="00B119EF" w:rsidP="00B119EF">
            <w:pPr>
              <w:pStyle w:val="Default"/>
              <w:numPr>
                <w:ilvl w:val="0"/>
                <w:numId w:val="19"/>
              </w:numPr>
            </w:pPr>
            <w:r>
              <w:rPr>
                <w:sz w:val="23"/>
                <w:szCs w:val="23"/>
              </w:rPr>
              <w:t>ensure pupils have the correct test materials and equipment</w:t>
            </w:r>
          </w:p>
        </w:tc>
        <w:tc>
          <w:tcPr>
            <w:tcW w:w="709" w:type="dxa"/>
          </w:tcPr>
          <w:p w14:paraId="2BF2BB37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2AB34BFE" w14:textId="77777777" w:rsidTr="00235A94">
        <w:tc>
          <w:tcPr>
            <w:tcW w:w="8959" w:type="dxa"/>
          </w:tcPr>
          <w:p w14:paraId="2F845CFC" w14:textId="77777777" w:rsidR="00B119EF" w:rsidRPr="00A056B1" w:rsidRDefault="00B119EF" w:rsidP="00B119EF">
            <w:pPr>
              <w:pStyle w:val="Default"/>
              <w:numPr>
                <w:ilvl w:val="0"/>
                <w:numId w:val="19"/>
              </w:numPr>
              <w:spacing w:after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ensure the correct use of access arrangements </w:t>
            </w:r>
          </w:p>
        </w:tc>
        <w:tc>
          <w:tcPr>
            <w:tcW w:w="709" w:type="dxa"/>
          </w:tcPr>
          <w:p w14:paraId="03F009C4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3217025E" w14:textId="77777777" w:rsidTr="00235A94">
        <w:tc>
          <w:tcPr>
            <w:tcW w:w="8959" w:type="dxa"/>
          </w:tcPr>
          <w:p w14:paraId="3B77140F" w14:textId="77777777" w:rsidR="00B119EF" w:rsidRDefault="00B119EF" w:rsidP="00B119EF">
            <w:pPr>
              <w:pStyle w:val="Default"/>
              <w:numPr>
                <w:ilvl w:val="0"/>
                <w:numId w:val="19"/>
              </w:numPr>
            </w:pPr>
            <w:r>
              <w:rPr>
                <w:sz w:val="23"/>
                <w:szCs w:val="23"/>
              </w:rPr>
              <w:t xml:space="preserve">notify STA of any incident that may have affected the integrity, </w:t>
            </w:r>
            <w:proofErr w:type="gramStart"/>
            <w:r>
              <w:rPr>
                <w:sz w:val="23"/>
                <w:szCs w:val="23"/>
              </w:rPr>
              <w:t>security</w:t>
            </w:r>
            <w:proofErr w:type="gramEnd"/>
            <w:r>
              <w:rPr>
                <w:sz w:val="23"/>
                <w:szCs w:val="23"/>
              </w:rPr>
              <w:t xml:space="preserve"> or confidentiality of the tests</w:t>
            </w:r>
          </w:p>
        </w:tc>
        <w:tc>
          <w:tcPr>
            <w:tcW w:w="709" w:type="dxa"/>
          </w:tcPr>
          <w:p w14:paraId="6249538C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4354E024" w14:textId="77777777" w:rsidTr="00235A94">
        <w:tc>
          <w:tcPr>
            <w:tcW w:w="8959" w:type="dxa"/>
          </w:tcPr>
          <w:p w14:paraId="37C2A831" w14:textId="77777777" w:rsidR="00B119EF" w:rsidRDefault="00B119EF" w:rsidP="00B119EF">
            <w:pPr>
              <w:pStyle w:val="Default"/>
              <w:numPr>
                <w:ilvl w:val="0"/>
                <w:numId w:val="19"/>
              </w:numPr>
            </w:pPr>
            <w:r>
              <w:rPr>
                <w:sz w:val="23"/>
                <w:szCs w:val="23"/>
              </w:rPr>
              <w:t>co-operate with any monitoring visit requests, including visits by STA or LA representatives</w:t>
            </w:r>
          </w:p>
        </w:tc>
        <w:tc>
          <w:tcPr>
            <w:tcW w:w="709" w:type="dxa"/>
          </w:tcPr>
          <w:p w14:paraId="41BB23B0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6EC8DA78" w14:textId="77777777" w:rsidTr="00235A94">
        <w:tc>
          <w:tcPr>
            <w:tcW w:w="8959" w:type="dxa"/>
          </w:tcPr>
          <w:p w14:paraId="2A27B0AD" w14:textId="1D16A457" w:rsidR="00B119EF" w:rsidRDefault="00B119EF" w:rsidP="00B119EF">
            <w:pPr>
              <w:pStyle w:val="Default"/>
              <w:numPr>
                <w:ilvl w:val="0"/>
                <w:numId w:val="19"/>
              </w:numPr>
            </w:pPr>
            <w:r>
              <w:rPr>
                <w:sz w:val="23"/>
                <w:szCs w:val="23"/>
              </w:rPr>
              <w:t>submit aid notifications, and notifications of pupil cheating via PAG, if required</w:t>
            </w:r>
          </w:p>
        </w:tc>
        <w:tc>
          <w:tcPr>
            <w:tcW w:w="709" w:type="dxa"/>
          </w:tcPr>
          <w:p w14:paraId="4FB1B064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  <w:tr w:rsidR="00B119EF" w14:paraId="32277943" w14:textId="77777777" w:rsidTr="00235A94">
        <w:tc>
          <w:tcPr>
            <w:tcW w:w="8959" w:type="dxa"/>
          </w:tcPr>
          <w:p w14:paraId="2A722E3F" w14:textId="33828DD0" w:rsidR="00B119EF" w:rsidRDefault="00B119EF" w:rsidP="00B119EF">
            <w:pPr>
              <w:pStyle w:val="Default"/>
              <w:numPr>
                <w:ilvl w:val="0"/>
                <w:numId w:val="19"/>
              </w:numPr>
            </w:pPr>
            <w:r>
              <w:rPr>
                <w:sz w:val="23"/>
                <w:szCs w:val="23"/>
              </w:rPr>
              <w:t xml:space="preserve">submit the </w:t>
            </w:r>
            <w:r w:rsidR="00235A94">
              <w:rPr>
                <w:sz w:val="23"/>
                <w:szCs w:val="23"/>
              </w:rPr>
              <w:t xml:space="preserve">KS2 </w:t>
            </w:r>
            <w:r>
              <w:rPr>
                <w:sz w:val="23"/>
                <w:szCs w:val="23"/>
              </w:rPr>
              <w:t xml:space="preserve">HDF </w:t>
            </w:r>
            <w:r w:rsidR="00235A94">
              <w:rPr>
                <w:sz w:val="23"/>
                <w:szCs w:val="23"/>
              </w:rPr>
              <w:t>on the</w:t>
            </w:r>
            <w:r>
              <w:rPr>
                <w:sz w:val="23"/>
                <w:szCs w:val="23"/>
              </w:rPr>
              <w:t xml:space="preserve"> PAG after all test scripts have been collected for marking and by Friday </w:t>
            </w:r>
            <w:r w:rsidR="00235A94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 xml:space="preserve">th May </w:t>
            </w:r>
          </w:p>
        </w:tc>
        <w:tc>
          <w:tcPr>
            <w:tcW w:w="709" w:type="dxa"/>
          </w:tcPr>
          <w:p w14:paraId="7964FC14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F63CBB1" w14:textId="37260BF9" w:rsidR="00235A94" w:rsidRDefault="00235A94" w:rsidP="00B119EF"/>
    <w:p w14:paraId="49A63177" w14:textId="77777777" w:rsidR="00235A94" w:rsidRDefault="00235A94">
      <w:r>
        <w:br w:type="page"/>
      </w:r>
    </w:p>
    <w:p w14:paraId="2BFD800C" w14:textId="77777777" w:rsidR="00B119EF" w:rsidRDefault="00B119EF" w:rsidP="00B119E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9"/>
        <w:gridCol w:w="709"/>
      </w:tblGrid>
      <w:tr w:rsidR="00B119EF" w:rsidRPr="00D37408" w14:paraId="1C0E0501" w14:textId="77777777" w:rsidTr="00235A94">
        <w:tc>
          <w:tcPr>
            <w:tcW w:w="8959" w:type="dxa"/>
          </w:tcPr>
          <w:p w14:paraId="228A22AA" w14:textId="3115A24F" w:rsidR="00B119EF" w:rsidRPr="00D37408" w:rsidRDefault="00B119EF" w:rsidP="00674880">
            <w:pPr>
              <w:pStyle w:val="Default"/>
              <w:rPr>
                <w:b/>
                <w:sz w:val="23"/>
                <w:szCs w:val="23"/>
              </w:rPr>
            </w:pPr>
            <w:r w:rsidRPr="00D37408">
              <w:rPr>
                <w:b/>
                <w:sz w:val="23"/>
                <w:szCs w:val="23"/>
              </w:rPr>
              <w:t>Headteachers at academies</w:t>
            </w:r>
            <w:r w:rsidR="00235A94">
              <w:rPr>
                <w:b/>
                <w:sz w:val="23"/>
                <w:szCs w:val="23"/>
              </w:rPr>
              <w:t xml:space="preserve"> (including free schools)</w:t>
            </w:r>
            <w:r w:rsidRPr="00D37408">
              <w:rPr>
                <w:b/>
                <w:sz w:val="23"/>
                <w:szCs w:val="23"/>
              </w:rPr>
              <w:t xml:space="preserve"> must also: </w:t>
            </w:r>
          </w:p>
        </w:tc>
        <w:tc>
          <w:tcPr>
            <w:tcW w:w="709" w:type="dxa"/>
          </w:tcPr>
          <w:p w14:paraId="286093AC" w14:textId="77777777" w:rsidR="00B119EF" w:rsidRPr="00D37408" w:rsidRDefault="00B119EF" w:rsidP="00674880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B119EF" w14:paraId="5F5781EF" w14:textId="77777777" w:rsidTr="00235A94">
        <w:tc>
          <w:tcPr>
            <w:tcW w:w="8959" w:type="dxa"/>
          </w:tcPr>
          <w:p w14:paraId="60E2B0D5" w14:textId="777B7731" w:rsidR="00235A94" w:rsidRPr="00235A94" w:rsidRDefault="00B119EF" w:rsidP="00235A94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have a written agreement in place with their chosen LA for monitoring the KS2 tests </w:t>
            </w:r>
            <w:r w:rsidR="00235A94">
              <w:rPr>
                <w:sz w:val="23"/>
                <w:szCs w:val="23"/>
              </w:rPr>
              <w:t>by Friday 18</w:t>
            </w:r>
            <w:r w:rsidR="00235A94" w:rsidRPr="00235A94">
              <w:rPr>
                <w:sz w:val="23"/>
                <w:szCs w:val="23"/>
                <w:vertAlign w:val="superscript"/>
              </w:rPr>
              <w:t>th</w:t>
            </w:r>
            <w:r w:rsidR="00235A94">
              <w:rPr>
                <w:sz w:val="23"/>
                <w:szCs w:val="23"/>
              </w:rPr>
              <w:t xml:space="preserve"> November</w:t>
            </w:r>
          </w:p>
        </w:tc>
        <w:tc>
          <w:tcPr>
            <w:tcW w:w="709" w:type="dxa"/>
          </w:tcPr>
          <w:p w14:paraId="73A6C16E" w14:textId="77777777" w:rsidR="00B119EF" w:rsidRDefault="00B119EF" w:rsidP="00674880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C3FC3E0" w14:textId="77777777" w:rsidR="00B119EF" w:rsidRDefault="00B119EF" w:rsidP="00B119EF">
      <w:pPr>
        <w:rPr>
          <w:b/>
          <w:bCs/>
          <w:sz w:val="28"/>
          <w:szCs w:val="28"/>
        </w:rPr>
      </w:pPr>
    </w:p>
    <w:p w14:paraId="154A4B22" w14:textId="77777777" w:rsidR="00B119EF" w:rsidRDefault="00B119EF" w:rsidP="00B119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Teacher assessment and moderation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709"/>
      </w:tblGrid>
      <w:tr w:rsidR="00B119EF" w14:paraId="071E41BF" w14:textId="77777777" w:rsidTr="00235A94">
        <w:tc>
          <w:tcPr>
            <w:tcW w:w="9067" w:type="dxa"/>
          </w:tcPr>
          <w:p w14:paraId="5E311A43" w14:textId="56E4084C" w:rsidR="00B119EF" w:rsidRDefault="00B119EF" w:rsidP="00B119E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09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use funds available within the school’s overall resources to give those carrying out TA sufficient opportunity to become familiar with:</w:t>
            </w:r>
          </w:p>
          <w:p w14:paraId="1CC95E0C" w14:textId="77777777" w:rsidR="00B119EF" w:rsidRDefault="00B119EF" w:rsidP="00B119EF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109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the TA frameworks</w:t>
            </w:r>
          </w:p>
          <w:p w14:paraId="7429C6CD" w14:textId="77777777" w:rsidR="00B119EF" w:rsidRDefault="00B119EF" w:rsidP="00B119EF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109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the pre-key stage standards</w:t>
            </w:r>
          </w:p>
          <w:p w14:paraId="01BC9B84" w14:textId="77777777" w:rsidR="00B119EF" w:rsidRPr="002A72EA" w:rsidRDefault="00B119EF" w:rsidP="00B119EF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109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the engagement model</w:t>
            </w:r>
          </w:p>
        </w:tc>
        <w:tc>
          <w:tcPr>
            <w:tcW w:w="709" w:type="dxa"/>
          </w:tcPr>
          <w:p w14:paraId="3BA6BFF1" w14:textId="77777777" w:rsidR="00B119EF" w:rsidRDefault="00B119EF" w:rsidP="00674880">
            <w:pPr>
              <w:ind w:left="360"/>
            </w:pPr>
          </w:p>
        </w:tc>
      </w:tr>
      <w:tr w:rsidR="00235A94" w14:paraId="469EB5E7" w14:textId="77777777" w:rsidTr="00235A94">
        <w:tc>
          <w:tcPr>
            <w:tcW w:w="9067" w:type="dxa"/>
          </w:tcPr>
          <w:p w14:paraId="26BFAC8E" w14:textId="63014943" w:rsidR="00235A94" w:rsidRDefault="00235A94" w:rsidP="00B119E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09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ensure the TA guidance is reviewed and followed</w:t>
            </w:r>
          </w:p>
        </w:tc>
        <w:tc>
          <w:tcPr>
            <w:tcW w:w="709" w:type="dxa"/>
          </w:tcPr>
          <w:p w14:paraId="224B879F" w14:textId="77777777" w:rsidR="00235A94" w:rsidRDefault="00235A94" w:rsidP="00674880">
            <w:pPr>
              <w:ind w:left="360"/>
            </w:pPr>
          </w:p>
        </w:tc>
      </w:tr>
      <w:tr w:rsidR="00B119EF" w14:paraId="74C9BC2F" w14:textId="77777777" w:rsidTr="00235A94">
        <w:tc>
          <w:tcPr>
            <w:tcW w:w="9067" w:type="dxa"/>
          </w:tcPr>
          <w:p w14:paraId="2ECCE18D" w14:textId="55A18789" w:rsidR="00B119EF" w:rsidRPr="002A72EA" w:rsidRDefault="00B119EF" w:rsidP="00B119EF">
            <w:pPr>
              <w:pStyle w:val="ListParagraph"/>
              <w:numPr>
                <w:ilvl w:val="0"/>
                <w:numId w:val="20"/>
              </w:numPr>
            </w:pPr>
            <w:r w:rsidRPr="002A72EA">
              <w:rPr>
                <w:rFonts w:cs="Arial"/>
                <w:color w:val="000000"/>
                <w:sz w:val="23"/>
                <w:szCs w:val="23"/>
              </w:rPr>
              <w:t xml:space="preserve">ensure the </w:t>
            </w:r>
            <w:r>
              <w:rPr>
                <w:rFonts w:cs="Arial"/>
                <w:color w:val="000000"/>
                <w:sz w:val="23"/>
                <w:szCs w:val="23"/>
              </w:rPr>
              <w:t>relevant framework</w:t>
            </w:r>
            <w:r w:rsidRPr="002A72EA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Arial"/>
                <w:color w:val="000000"/>
                <w:sz w:val="23"/>
                <w:szCs w:val="23"/>
              </w:rPr>
              <w:t>or guidance is</w:t>
            </w:r>
            <w:r w:rsidRPr="002A72EA">
              <w:rPr>
                <w:rFonts w:cs="Arial"/>
                <w:color w:val="000000"/>
                <w:sz w:val="23"/>
                <w:szCs w:val="23"/>
              </w:rPr>
              <w:t xml:space="preserve"> used to make 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each </w:t>
            </w:r>
            <w:r w:rsidRPr="002A72EA">
              <w:rPr>
                <w:rFonts w:cs="Arial"/>
                <w:color w:val="000000"/>
                <w:sz w:val="23"/>
                <w:szCs w:val="23"/>
              </w:rPr>
              <w:t>pupils’ TA judgements</w:t>
            </w:r>
          </w:p>
          <w:p w14:paraId="04F5BBAA" w14:textId="77777777" w:rsidR="00B119EF" w:rsidRDefault="00B119EF" w:rsidP="00674880">
            <w:pPr>
              <w:pStyle w:val="ListParagraph"/>
              <w:ind w:left="1080"/>
            </w:pPr>
          </w:p>
        </w:tc>
        <w:tc>
          <w:tcPr>
            <w:tcW w:w="709" w:type="dxa"/>
          </w:tcPr>
          <w:p w14:paraId="622D0946" w14:textId="77777777" w:rsidR="00B119EF" w:rsidRDefault="00B119EF" w:rsidP="00674880">
            <w:pPr>
              <w:ind w:left="360"/>
            </w:pPr>
          </w:p>
        </w:tc>
      </w:tr>
      <w:tr w:rsidR="00B119EF" w14:paraId="260FA767" w14:textId="77777777" w:rsidTr="00235A94">
        <w:tc>
          <w:tcPr>
            <w:tcW w:w="9067" w:type="dxa"/>
          </w:tcPr>
          <w:p w14:paraId="7A455DA4" w14:textId="77777777" w:rsidR="00B119EF" w:rsidRPr="002A72EA" w:rsidRDefault="00B119EF" w:rsidP="00B119E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09"/>
              <w:rPr>
                <w:rFonts w:cs="Arial"/>
                <w:color w:val="000000"/>
                <w:sz w:val="23"/>
                <w:szCs w:val="23"/>
              </w:rPr>
            </w:pPr>
            <w:r w:rsidRPr="002A72EA">
              <w:rPr>
                <w:rFonts w:cs="Arial"/>
                <w:color w:val="000000"/>
                <w:sz w:val="23"/>
                <w:szCs w:val="23"/>
              </w:rPr>
              <w:t xml:space="preserve">ensure TA judgements are an accurate assessment of pupils’ attainment </w:t>
            </w:r>
          </w:p>
        </w:tc>
        <w:tc>
          <w:tcPr>
            <w:tcW w:w="709" w:type="dxa"/>
          </w:tcPr>
          <w:p w14:paraId="52266579" w14:textId="77777777" w:rsidR="00B119EF" w:rsidRDefault="00B119EF" w:rsidP="00674880">
            <w:pPr>
              <w:ind w:left="360"/>
            </w:pPr>
          </w:p>
        </w:tc>
      </w:tr>
      <w:tr w:rsidR="00B119EF" w14:paraId="62286CFC" w14:textId="77777777" w:rsidTr="00235A94">
        <w:tc>
          <w:tcPr>
            <w:tcW w:w="9067" w:type="dxa"/>
          </w:tcPr>
          <w:p w14:paraId="4195E918" w14:textId="03008364" w:rsidR="00B119EF" w:rsidRDefault="00B119EF" w:rsidP="00B119EF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submit </w:t>
            </w:r>
            <w:r w:rsidRPr="002A72EA">
              <w:rPr>
                <w:rFonts w:cs="Arial"/>
                <w:color w:val="000000"/>
                <w:sz w:val="23"/>
                <w:szCs w:val="23"/>
              </w:rPr>
              <w:t xml:space="preserve">TA data to STA, for all 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registered </w:t>
            </w:r>
            <w:r w:rsidRPr="002A72EA">
              <w:rPr>
                <w:rFonts w:cs="Arial"/>
                <w:color w:val="000000"/>
                <w:sz w:val="23"/>
                <w:szCs w:val="23"/>
              </w:rPr>
              <w:t>pupils at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the end of KS2, by Tuesday 2</w:t>
            </w:r>
            <w:r w:rsidR="00235A94">
              <w:rPr>
                <w:rFonts w:cs="Arial"/>
                <w:color w:val="000000"/>
                <w:sz w:val="23"/>
                <w:szCs w:val="23"/>
              </w:rPr>
              <w:t>7</w:t>
            </w:r>
            <w:r w:rsidRPr="002E5F38">
              <w:rPr>
                <w:rFonts w:cs="Arial"/>
                <w:color w:val="000000"/>
                <w:sz w:val="23"/>
                <w:szCs w:val="23"/>
                <w:vertAlign w:val="superscript"/>
              </w:rPr>
              <w:t>th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Pr="002A72EA">
              <w:rPr>
                <w:rFonts w:cs="Arial"/>
                <w:color w:val="000000"/>
                <w:sz w:val="23"/>
                <w:szCs w:val="23"/>
              </w:rPr>
              <w:t xml:space="preserve">June </w:t>
            </w:r>
          </w:p>
        </w:tc>
        <w:tc>
          <w:tcPr>
            <w:tcW w:w="709" w:type="dxa"/>
          </w:tcPr>
          <w:p w14:paraId="2F1C0CEB" w14:textId="77777777" w:rsidR="00B119EF" w:rsidRDefault="00B119EF" w:rsidP="00674880">
            <w:pPr>
              <w:ind w:left="360"/>
            </w:pPr>
          </w:p>
        </w:tc>
      </w:tr>
      <w:tr w:rsidR="00B119EF" w14:paraId="57E69D0C" w14:textId="77777777" w:rsidTr="00235A94">
        <w:tc>
          <w:tcPr>
            <w:tcW w:w="9067" w:type="dxa"/>
          </w:tcPr>
          <w:p w14:paraId="43E9E2AD" w14:textId="77777777" w:rsidR="00B119EF" w:rsidRDefault="00B119EF" w:rsidP="00B119EF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notify STA of any issues that may have affected the integrity of the TA</w:t>
            </w:r>
          </w:p>
        </w:tc>
        <w:tc>
          <w:tcPr>
            <w:tcW w:w="709" w:type="dxa"/>
          </w:tcPr>
          <w:p w14:paraId="7EA9EC99" w14:textId="77777777" w:rsidR="00B119EF" w:rsidRDefault="00B119EF" w:rsidP="00674880">
            <w:pPr>
              <w:ind w:left="360"/>
            </w:pPr>
          </w:p>
        </w:tc>
      </w:tr>
      <w:tr w:rsidR="00B119EF" w:rsidRPr="00D37408" w14:paraId="5C97BBF2" w14:textId="77777777" w:rsidTr="00235A94">
        <w:tc>
          <w:tcPr>
            <w:tcW w:w="9067" w:type="dxa"/>
          </w:tcPr>
          <w:p w14:paraId="4523ABC0" w14:textId="77777777" w:rsidR="00B119EF" w:rsidRPr="00D37408" w:rsidRDefault="00B119EF" w:rsidP="00674880">
            <w:pPr>
              <w:pStyle w:val="Default"/>
              <w:rPr>
                <w:b/>
                <w:sz w:val="23"/>
                <w:szCs w:val="23"/>
              </w:rPr>
            </w:pPr>
            <w:r w:rsidRPr="00D37408">
              <w:rPr>
                <w:b/>
                <w:sz w:val="23"/>
                <w:szCs w:val="23"/>
              </w:rPr>
              <w:t xml:space="preserve">Headteachers at academies must also: </w:t>
            </w:r>
          </w:p>
        </w:tc>
        <w:tc>
          <w:tcPr>
            <w:tcW w:w="709" w:type="dxa"/>
          </w:tcPr>
          <w:p w14:paraId="0480CF27" w14:textId="77777777" w:rsidR="00B119EF" w:rsidRPr="00D37408" w:rsidRDefault="00B119EF" w:rsidP="00674880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B119EF" w14:paraId="19589587" w14:textId="77777777" w:rsidTr="00235A94">
        <w:tc>
          <w:tcPr>
            <w:tcW w:w="9067" w:type="dxa"/>
          </w:tcPr>
          <w:p w14:paraId="44121645" w14:textId="064CE14D" w:rsidR="00B119EF" w:rsidRDefault="00B119EF" w:rsidP="00B119EF">
            <w:pPr>
              <w:pStyle w:val="ListParagraph"/>
              <w:numPr>
                <w:ilvl w:val="0"/>
                <w:numId w:val="21"/>
              </w:numPr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have a written agreement in place with their chosen LA for external moderation of their KS2 data, and if they have selected a non-geographical LA, they must report this information to STA via PAG by Friday 1</w:t>
            </w:r>
            <w:r w:rsidR="00235A94">
              <w:rPr>
                <w:rFonts w:cs="Arial"/>
                <w:color w:val="000000"/>
                <w:sz w:val="23"/>
                <w:szCs w:val="23"/>
              </w:rPr>
              <w:t>8</w:t>
            </w:r>
            <w:r>
              <w:rPr>
                <w:rFonts w:cs="Arial"/>
                <w:color w:val="000000"/>
                <w:sz w:val="23"/>
                <w:szCs w:val="23"/>
              </w:rPr>
              <w:t>th November.</w:t>
            </w:r>
          </w:p>
        </w:tc>
        <w:tc>
          <w:tcPr>
            <w:tcW w:w="709" w:type="dxa"/>
          </w:tcPr>
          <w:p w14:paraId="04ED295D" w14:textId="77777777" w:rsidR="00B119EF" w:rsidRDefault="00B119EF" w:rsidP="00674880">
            <w:pPr>
              <w:ind w:left="360"/>
            </w:pPr>
          </w:p>
        </w:tc>
      </w:tr>
    </w:tbl>
    <w:p w14:paraId="766D0D1E" w14:textId="77777777" w:rsidR="00B119EF" w:rsidRPr="002E5F38" w:rsidRDefault="00B119EF" w:rsidP="00B119EF">
      <w:pPr>
        <w:rPr>
          <w:b/>
        </w:rPr>
      </w:pPr>
    </w:p>
    <w:p w14:paraId="509D3720" w14:textId="77777777" w:rsidR="00B119EF" w:rsidRPr="002E5F38" w:rsidRDefault="00B119EF" w:rsidP="00B119EF">
      <w:pPr>
        <w:rPr>
          <w:b/>
          <w:sz w:val="28"/>
          <w:szCs w:val="28"/>
        </w:rPr>
      </w:pPr>
      <w:r w:rsidRPr="002E5F38">
        <w:rPr>
          <w:b/>
          <w:sz w:val="28"/>
          <w:szCs w:val="28"/>
        </w:rPr>
        <w:t>Multiplication tables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709"/>
      </w:tblGrid>
      <w:tr w:rsidR="00B119EF" w14:paraId="642E6540" w14:textId="77777777" w:rsidTr="00082EE5">
        <w:tc>
          <w:tcPr>
            <w:tcW w:w="9067" w:type="dxa"/>
          </w:tcPr>
          <w:p w14:paraId="3A58B0F3" w14:textId="77777777" w:rsidR="00B119EF" w:rsidRDefault="00B119EF" w:rsidP="00B119EF">
            <w:pPr>
              <w:pStyle w:val="ListParagraph"/>
              <w:numPr>
                <w:ilvl w:val="0"/>
                <w:numId w:val="21"/>
              </w:numPr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ensure that suitable IT equipment is available to administer the check</w:t>
            </w:r>
          </w:p>
        </w:tc>
        <w:tc>
          <w:tcPr>
            <w:tcW w:w="709" w:type="dxa"/>
          </w:tcPr>
          <w:p w14:paraId="77892A73" w14:textId="77777777" w:rsidR="00B119EF" w:rsidRDefault="00B119EF" w:rsidP="00674880">
            <w:pPr>
              <w:ind w:left="360"/>
            </w:pPr>
          </w:p>
        </w:tc>
      </w:tr>
      <w:tr w:rsidR="00B119EF" w14:paraId="6549D07A" w14:textId="77777777" w:rsidTr="00082EE5">
        <w:tc>
          <w:tcPr>
            <w:tcW w:w="9067" w:type="dxa"/>
          </w:tcPr>
          <w:p w14:paraId="62EF429B" w14:textId="7BD330A3" w:rsidR="00B119EF" w:rsidRDefault="00B119EF" w:rsidP="00B119EF">
            <w:pPr>
              <w:pStyle w:val="ListParagraph"/>
              <w:numPr>
                <w:ilvl w:val="0"/>
                <w:numId w:val="21"/>
              </w:numPr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ensure that all </w:t>
            </w:r>
            <w:r w:rsidR="00082EE5">
              <w:rPr>
                <w:rFonts w:cs="Arial"/>
                <w:color w:val="000000"/>
                <w:sz w:val="23"/>
                <w:szCs w:val="23"/>
              </w:rPr>
              <w:t>Y4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pupils are registered for the check, using the MTC service</w:t>
            </w:r>
            <w:r w:rsidR="00082EE5">
              <w:rPr>
                <w:rFonts w:cs="Arial"/>
                <w:color w:val="000000"/>
                <w:sz w:val="23"/>
                <w:szCs w:val="23"/>
              </w:rPr>
              <w:t>, including pupils who may not take the check</w:t>
            </w:r>
          </w:p>
        </w:tc>
        <w:tc>
          <w:tcPr>
            <w:tcW w:w="709" w:type="dxa"/>
          </w:tcPr>
          <w:p w14:paraId="0FDB25E7" w14:textId="77777777" w:rsidR="00B119EF" w:rsidRDefault="00B119EF" w:rsidP="00674880">
            <w:pPr>
              <w:ind w:left="360"/>
            </w:pPr>
          </w:p>
        </w:tc>
      </w:tr>
      <w:tr w:rsidR="00B119EF" w14:paraId="51C6D5B1" w14:textId="77777777" w:rsidTr="00082EE5">
        <w:tc>
          <w:tcPr>
            <w:tcW w:w="9067" w:type="dxa"/>
          </w:tcPr>
          <w:p w14:paraId="5BCFD60C" w14:textId="428A933F" w:rsidR="00B119EF" w:rsidRDefault="00B119EF" w:rsidP="00B119EF">
            <w:pPr>
              <w:pStyle w:val="ListParagraph"/>
              <w:numPr>
                <w:ilvl w:val="0"/>
                <w:numId w:val="21"/>
              </w:numPr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consider whether any pupils will need access arrangements and, where appropriate, allow them to practice in the ‘try it out’ </w:t>
            </w:r>
            <w:r w:rsidR="00082EE5">
              <w:rPr>
                <w:rFonts w:cs="Arial"/>
                <w:color w:val="000000"/>
                <w:sz w:val="23"/>
                <w:szCs w:val="23"/>
              </w:rPr>
              <w:t>check</w:t>
            </w:r>
          </w:p>
        </w:tc>
        <w:tc>
          <w:tcPr>
            <w:tcW w:w="709" w:type="dxa"/>
          </w:tcPr>
          <w:p w14:paraId="4F53829E" w14:textId="77777777" w:rsidR="00B119EF" w:rsidRDefault="00B119EF" w:rsidP="00674880">
            <w:pPr>
              <w:ind w:left="360"/>
            </w:pPr>
          </w:p>
        </w:tc>
      </w:tr>
      <w:tr w:rsidR="00B119EF" w14:paraId="5BAF3125" w14:textId="77777777" w:rsidTr="00082EE5">
        <w:tc>
          <w:tcPr>
            <w:tcW w:w="9067" w:type="dxa"/>
          </w:tcPr>
          <w:p w14:paraId="5400CF86" w14:textId="0F1860AA" w:rsidR="00B119EF" w:rsidRDefault="00B119EF" w:rsidP="00B119EF">
            <w:pPr>
              <w:pStyle w:val="ListParagraph"/>
              <w:numPr>
                <w:ilvl w:val="0"/>
                <w:numId w:val="21"/>
              </w:numPr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administer the check to all eligible pupils within the check window starting Monday </w:t>
            </w:r>
            <w:r w:rsidR="00082EE5">
              <w:rPr>
                <w:rFonts w:cs="Arial"/>
                <w:color w:val="000000"/>
                <w:sz w:val="23"/>
                <w:szCs w:val="23"/>
              </w:rPr>
              <w:t>5</w:t>
            </w:r>
            <w:r w:rsidRPr="002E5F38">
              <w:rPr>
                <w:rFonts w:cs="Arial"/>
                <w:color w:val="000000"/>
                <w:sz w:val="23"/>
                <w:szCs w:val="23"/>
                <w:vertAlign w:val="superscript"/>
              </w:rPr>
              <w:t>th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June to Friday </w:t>
            </w:r>
            <w:r w:rsidR="00082EE5">
              <w:rPr>
                <w:rFonts w:cs="Arial"/>
                <w:color w:val="000000"/>
                <w:sz w:val="23"/>
                <w:szCs w:val="23"/>
              </w:rPr>
              <w:t>16</w:t>
            </w:r>
            <w:r w:rsidRPr="009821C6">
              <w:rPr>
                <w:rFonts w:cs="Arial"/>
                <w:color w:val="000000"/>
                <w:sz w:val="23"/>
                <w:szCs w:val="23"/>
                <w:vertAlign w:val="superscript"/>
              </w:rPr>
              <w:t>th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June</w:t>
            </w:r>
          </w:p>
        </w:tc>
        <w:tc>
          <w:tcPr>
            <w:tcW w:w="709" w:type="dxa"/>
          </w:tcPr>
          <w:p w14:paraId="3E263AEB" w14:textId="77777777" w:rsidR="00B119EF" w:rsidRDefault="00B119EF" w:rsidP="00674880">
            <w:pPr>
              <w:ind w:left="360"/>
            </w:pPr>
          </w:p>
        </w:tc>
      </w:tr>
      <w:tr w:rsidR="00082EE5" w14:paraId="43176195" w14:textId="77777777" w:rsidTr="00082EE5">
        <w:tc>
          <w:tcPr>
            <w:tcW w:w="9067" w:type="dxa"/>
          </w:tcPr>
          <w:p w14:paraId="4BF29A0D" w14:textId="7BF08815" w:rsidR="00082EE5" w:rsidRDefault="00082EE5" w:rsidP="00B119EF">
            <w:pPr>
              <w:pStyle w:val="ListParagraph"/>
              <w:numPr>
                <w:ilvl w:val="0"/>
                <w:numId w:val="21"/>
              </w:numPr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administer the check to any pupils who were absent during the first 2 weeks or where check administration has been delayed </w:t>
            </w:r>
            <w:r w:rsidR="00CD39A0">
              <w:rPr>
                <w:rFonts w:cs="Arial"/>
                <w:color w:val="000000"/>
                <w:sz w:val="23"/>
                <w:szCs w:val="23"/>
              </w:rPr>
              <w:t>d</w:t>
            </w:r>
            <w:r>
              <w:rPr>
                <w:rFonts w:cs="Arial"/>
                <w:color w:val="000000"/>
                <w:sz w:val="23"/>
                <w:szCs w:val="23"/>
              </w:rPr>
              <w:t>ue to technical difficulties from Monday 19</w:t>
            </w:r>
            <w:r w:rsidRPr="00082EE5">
              <w:rPr>
                <w:rFonts w:cs="Arial"/>
                <w:color w:val="000000"/>
                <w:sz w:val="23"/>
                <w:szCs w:val="23"/>
                <w:vertAlign w:val="superscript"/>
              </w:rPr>
              <w:t>th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June to Friday 23</w:t>
            </w:r>
            <w:r w:rsidRPr="00082EE5">
              <w:rPr>
                <w:rFonts w:cs="Arial"/>
                <w:color w:val="000000"/>
                <w:sz w:val="23"/>
                <w:szCs w:val="23"/>
                <w:vertAlign w:val="superscript"/>
              </w:rPr>
              <w:t>rd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June (Headteachers should make any decisions regarding administering the check to pupils in week 3 and do not require permission from STA)</w:t>
            </w:r>
          </w:p>
        </w:tc>
        <w:tc>
          <w:tcPr>
            <w:tcW w:w="709" w:type="dxa"/>
          </w:tcPr>
          <w:p w14:paraId="350CB20D" w14:textId="77777777" w:rsidR="00082EE5" w:rsidRDefault="00082EE5" w:rsidP="00674880">
            <w:pPr>
              <w:ind w:left="360"/>
            </w:pPr>
          </w:p>
        </w:tc>
      </w:tr>
      <w:tr w:rsidR="00B119EF" w14:paraId="670F6171" w14:textId="77777777" w:rsidTr="00082EE5">
        <w:tc>
          <w:tcPr>
            <w:tcW w:w="9067" w:type="dxa"/>
          </w:tcPr>
          <w:p w14:paraId="6AFD483B" w14:textId="12DAE5D8" w:rsidR="00B119EF" w:rsidRDefault="00082EE5" w:rsidP="00B119EF">
            <w:pPr>
              <w:pStyle w:val="ListParagraph"/>
              <w:numPr>
                <w:ilvl w:val="0"/>
                <w:numId w:val="21"/>
              </w:numPr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ensure all pupils who participated in the check have a ‘complete’ check status in the MTC service and any pupils not taking the check have a reason recorded in the MTC service by Friday 23</w:t>
            </w:r>
            <w:r w:rsidRPr="00082EE5">
              <w:rPr>
                <w:rFonts w:cs="Arial"/>
                <w:color w:val="000000"/>
                <w:sz w:val="23"/>
                <w:szCs w:val="23"/>
                <w:vertAlign w:val="superscript"/>
              </w:rPr>
              <w:t>rd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June.</w:t>
            </w:r>
          </w:p>
        </w:tc>
        <w:tc>
          <w:tcPr>
            <w:tcW w:w="709" w:type="dxa"/>
          </w:tcPr>
          <w:p w14:paraId="11C8FFF0" w14:textId="77777777" w:rsidR="00B119EF" w:rsidRDefault="00B119EF" w:rsidP="00674880">
            <w:pPr>
              <w:ind w:left="360"/>
            </w:pPr>
          </w:p>
        </w:tc>
      </w:tr>
      <w:tr w:rsidR="00082EE5" w14:paraId="4BA7176E" w14:textId="77777777" w:rsidTr="00082EE5">
        <w:tc>
          <w:tcPr>
            <w:tcW w:w="9067" w:type="dxa"/>
          </w:tcPr>
          <w:p w14:paraId="1EB86B10" w14:textId="2626DA49" w:rsidR="00082EE5" w:rsidRDefault="00082EE5" w:rsidP="00B119EF">
            <w:pPr>
              <w:pStyle w:val="ListParagraph"/>
              <w:numPr>
                <w:ilvl w:val="0"/>
                <w:numId w:val="21"/>
              </w:numPr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Submit the MTC HDF in the MTC service</w:t>
            </w:r>
          </w:p>
        </w:tc>
        <w:tc>
          <w:tcPr>
            <w:tcW w:w="709" w:type="dxa"/>
          </w:tcPr>
          <w:p w14:paraId="23F0101E" w14:textId="77777777" w:rsidR="00082EE5" w:rsidRDefault="00082EE5" w:rsidP="00674880">
            <w:pPr>
              <w:ind w:left="360"/>
            </w:pPr>
          </w:p>
        </w:tc>
      </w:tr>
    </w:tbl>
    <w:p w14:paraId="541A2249" w14:textId="77777777" w:rsidR="00B119EF" w:rsidRPr="002E5F38" w:rsidRDefault="00B119EF" w:rsidP="00B119EF">
      <w:pPr>
        <w:rPr>
          <w:b/>
        </w:rPr>
      </w:pPr>
    </w:p>
    <w:p w14:paraId="09A23C7D" w14:textId="77777777" w:rsidR="00B119EF" w:rsidRDefault="00B119EF" w:rsidP="00B119EF"/>
    <w:p w14:paraId="3698DAE3" w14:textId="77777777" w:rsidR="0041086D" w:rsidRPr="002166F0" w:rsidRDefault="0041086D" w:rsidP="002166F0">
      <w:pPr>
        <w:rPr>
          <w:rFonts w:cs="Arial"/>
          <w:sz w:val="22"/>
        </w:rPr>
      </w:pPr>
    </w:p>
    <w:sectPr w:rsidR="0041086D" w:rsidRPr="002166F0" w:rsidSect="00AF3E94">
      <w:headerReference w:type="default" r:id="rId11"/>
      <w:footerReference w:type="default" r:id="rId12"/>
      <w:pgSz w:w="11906" w:h="16838"/>
      <w:pgMar w:top="1417" w:right="720" w:bottom="720" w:left="720" w:header="567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DBF4" w14:textId="77777777" w:rsidR="00D43FE6" w:rsidRDefault="00D43FE6" w:rsidP="00D43FE6">
      <w:pPr>
        <w:spacing w:after="0" w:line="240" w:lineRule="auto"/>
      </w:pPr>
      <w:r>
        <w:separator/>
      </w:r>
    </w:p>
  </w:endnote>
  <w:endnote w:type="continuationSeparator" w:id="0">
    <w:p w14:paraId="57C59F84" w14:textId="77777777" w:rsidR="00D43FE6" w:rsidRDefault="00D43FE6" w:rsidP="00D4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6"/>
      <w:gridCol w:w="5316"/>
    </w:tblGrid>
    <w:tr w:rsidR="00AF3E94" w14:paraId="12443D60" w14:textId="77777777" w:rsidTr="00AF3E94">
      <w:tc>
        <w:tcPr>
          <w:tcW w:w="5316" w:type="dxa"/>
          <w:vAlign w:val="center"/>
        </w:tcPr>
        <w:p w14:paraId="09ABCF0C" w14:textId="6C064C5C" w:rsidR="00AF3E94" w:rsidRPr="00F930AA" w:rsidRDefault="007108CD" w:rsidP="00AF3E94">
          <w:pPr>
            <w:pStyle w:val="Footer"/>
            <w:rPr>
              <w:color w:val="FF0000"/>
            </w:rPr>
          </w:pPr>
          <w:hyperlink r:id="rId1" w:history="1">
            <w:r w:rsidR="00AF3E94">
              <w:rPr>
                <w:rStyle w:val="Hyperlink"/>
                <w:rFonts w:cs="Arial"/>
                <w:szCs w:val="20"/>
              </w:rPr>
              <w:t>devon.cc/</w:t>
            </w:r>
            <w:proofErr w:type="spellStart"/>
            <w:r w:rsidR="00AF3E94">
              <w:rPr>
                <w:rStyle w:val="Hyperlink"/>
                <w:rFonts w:cs="Arial"/>
                <w:szCs w:val="20"/>
              </w:rPr>
              <w:t>english</w:t>
            </w:r>
            <w:proofErr w:type="spellEnd"/>
          </w:hyperlink>
        </w:p>
      </w:tc>
      <w:tc>
        <w:tcPr>
          <w:tcW w:w="5316" w:type="dxa"/>
          <w:vAlign w:val="center"/>
        </w:tcPr>
        <w:p w14:paraId="3EFD30C1" w14:textId="5EF33682" w:rsidR="00AF3E94" w:rsidRDefault="00AF3E94" w:rsidP="00F930AA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37F00A1" wp14:editId="52CD381B">
                <wp:extent cx="2276190" cy="447619"/>
                <wp:effectExtent l="0" t="0" r="0" b="0"/>
                <wp:docPr id="14" name="Picture 14" descr="copyright of Devon County Council an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copyright of Devon County Council and log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190" cy="44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88D0B0" w14:textId="553D991C" w:rsidR="00D43FE6" w:rsidRPr="001B4466" w:rsidRDefault="00D43FE6" w:rsidP="001B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3095" w14:textId="77777777" w:rsidR="00D43FE6" w:rsidRDefault="00D43FE6" w:rsidP="00D43FE6">
      <w:pPr>
        <w:spacing w:after="0" w:line="240" w:lineRule="auto"/>
      </w:pPr>
      <w:r>
        <w:separator/>
      </w:r>
    </w:p>
  </w:footnote>
  <w:footnote w:type="continuationSeparator" w:id="0">
    <w:p w14:paraId="55955279" w14:textId="77777777" w:rsidR="00D43FE6" w:rsidRDefault="00D43FE6" w:rsidP="00D4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3979" w14:textId="34DF6EDF" w:rsidR="00AF3E94" w:rsidRPr="00AF3E94" w:rsidRDefault="00CE6C10" w:rsidP="00AF3E94">
    <w:pPr>
      <w:pStyle w:val="Header"/>
      <w:rPr>
        <w:b/>
      </w:rPr>
    </w:pPr>
    <w:r>
      <w:rPr>
        <w:noProof/>
      </w:rPr>
      <w:drawing>
        <wp:inline distT="0" distB="0" distL="0" distR="0" wp14:anchorId="2DC8E809" wp14:editId="22A72076">
          <wp:extent cx="689321" cy="690521"/>
          <wp:effectExtent l="0" t="0" r="0" b="0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21" cy="690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64D"/>
    <w:multiLevelType w:val="hybridMultilevel"/>
    <w:tmpl w:val="662AD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171"/>
    <w:multiLevelType w:val="hybridMultilevel"/>
    <w:tmpl w:val="ECDA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5CBD"/>
    <w:multiLevelType w:val="hybridMultilevel"/>
    <w:tmpl w:val="C9AC5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A1240"/>
    <w:multiLevelType w:val="hybridMultilevel"/>
    <w:tmpl w:val="8542C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57744"/>
    <w:multiLevelType w:val="hybridMultilevel"/>
    <w:tmpl w:val="703078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50273"/>
    <w:multiLevelType w:val="hybridMultilevel"/>
    <w:tmpl w:val="2B2693EC"/>
    <w:lvl w:ilvl="0" w:tplc="F08859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D5F7E"/>
    <w:multiLevelType w:val="hybridMultilevel"/>
    <w:tmpl w:val="42A88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42640"/>
    <w:multiLevelType w:val="hybridMultilevel"/>
    <w:tmpl w:val="09D0E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BA4220"/>
    <w:multiLevelType w:val="hybridMultilevel"/>
    <w:tmpl w:val="212024B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60DA"/>
    <w:multiLevelType w:val="hybridMultilevel"/>
    <w:tmpl w:val="AC92F052"/>
    <w:lvl w:ilvl="0" w:tplc="1B82A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920E5"/>
    <w:multiLevelType w:val="hybridMultilevel"/>
    <w:tmpl w:val="82744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86D36"/>
    <w:multiLevelType w:val="hybridMultilevel"/>
    <w:tmpl w:val="FFF29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7B72EE"/>
    <w:multiLevelType w:val="hybridMultilevel"/>
    <w:tmpl w:val="B1E2C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9367F"/>
    <w:multiLevelType w:val="hybridMultilevel"/>
    <w:tmpl w:val="EBC46BE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7509E"/>
    <w:multiLevelType w:val="hybridMultilevel"/>
    <w:tmpl w:val="1BA4E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F0912"/>
    <w:multiLevelType w:val="hybridMultilevel"/>
    <w:tmpl w:val="72967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6C7764"/>
    <w:multiLevelType w:val="hybridMultilevel"/>
    <w:tmpl w:val="CB204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744CC8"/>
    <w:multiLevelType w:val="hybridMultilevel"/>
    <w:tmpl w:val="955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3359D"/>
    <w:multiLevelType w:val="hybridMultilevel"/>
    <w:tmpl w:val="14126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0A7288"/>
    <w:multiLevelType w:val="hybridMultilevel"/>
    <w:tmpl w:val="3AC86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11742">
    <w:abstractNumId w:val="10"/>
  </w:num>
  <w:num w:numId="2" w16cid:durableId="1225796049">
    <w:abstractNumId w:val="5"/>
  </w:num>
  <w:num w:numId="3" w16cid:durableId="1652174076">
    <w:abstractNumId w:val="9"/>
  </w:num>
  <w:num w:numId="4" w16cid:durableId="556471716">
    <w:abstractNumId w:val="11"/>
  </w:num>
  <w:num w:numId="5" w16cid:durableId="1831215009">
    <w:abstractNumId w:val="17"/>
  </w:num>
  <w:num w:numId="6" w16cid:durableId="1937588328">
    <w:abstractNumId w:val="19"/>
  </w:num>
  <w:num w:numId="7" w16cid:durableId="163520702">
    <w:abstractNumId w:val="1"/>
  </w:num>
  <w:num w:numId="8" w16cid:durableId="733044025">
    <w:abstractNumId w:val="2"/>
  </w:num>
  <w:num w:numId="9" w16cid:durableId="844825623">
    <w:abstractNumId w:val="12"/>
  </w:num>
  <w:num w:numId="10" w16cid:durableId="1789161044">
    <w:abstractNumId w:val="8"/>
  </w:num>
  <w:num w:numId="11" w16cid:durableId="1841846943">
    <w:abstractNumId w:val="7"/>
  </w:num>
  <w:num w:numId="12" w16cid:durableId="1547597673">
    <w:abstractNumId w:val="3"/>
  </w:num>
  <w:num w:numId="13" w16cid:durableId="1465584591">
    <w:abstractNumId w:val="4"/>
  </w:num>
  <w:num w:numId="14" w16cid:durableId="659386500">
    <w:abstractNumId w:val="0"/>
  </w:num>
  <w:num w:numId="15" w16cid:durableId="294531920">
    <w:abstractNumId w:val="16"/>
  </w:num>
  <w:num w:numId="16" w16cid:durableId="1788769158">
    <w:abstractNumId w:val="18"/>
  </w:num>
  <w:num w:numId="17" w16cid:durableId="739209433">
    <w:abstractNumId w:val="6"/>
  </w:num>
  <w:num w:numId="18" w16cid:durableId="1077048070">
    <w:abstractNumId w:val="14"/>
  </w:num>
  <w:num w:numId="19" w16cid:durableId="1479497331">
    <w:abstractNumId w:val="15"/>
  </w:num>
  <w:num w:numId="20" w16cid:durableId="2132745314">
    <w:abstractNumId w:val="20"/>
  </w:num>
  <w:num w:numId="21" w16cid:durableId="2038847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E6"/>
    <w:rsid w:val="000150D1"/>
    <w:rsid w:val="00017CB3"/>
    <w:rsid w:val="0002783A"/>
    <w:rsid w:val="00055625"/>
    <w:rsid w:val="0006047E"/>
    <w:rsid w:val="00062C35"/>
    <w:rsid w:val="000726D9"/>
    <w:rsid w:val="00075A15"/>
    <w:rsid w:val="00082EE5"/>
    <w:rsid w:val="000867D8"/>
    <w:rsid w:val="00095BBF"/>
    <w:rsid w:val="000C5165"/>
    <w:rsid w:val="000C5CC4"/>
    <w:rsid w:val="000E73D9"/>
    <w:rsid w:val="000F121A"/>
    <w:rsid w:val="0013455F"/>
    <w:rsid w:val="00146926"/>
    <w:rsid w:val="00164E3F"/>
    <w:rsid w:val="001B0DFC"/>
    <w:rsid w:val="001B3A12"/>
    <w:rsid w:val="001B4466"/>
    <w:rsid w:val="001C1F6A"/>
    <w:rsid w:val="001E373A"/>
    <w:rsid w:val="00211740"/>
    <w:rsid w:val="00213DA3"/>
    <w:rsid w:val="002166F0"/>
    <w:rsid w:val="00235A94"/>
    <w:rsid w:val="0024765B"/>
    <w:rsid w:val="00250536"/>
    <w:rsid w:val="00255BDC"/>
    <w:rsid w:val="0026268C"/>
    <w:rsid w:val="00267364"/>
    <w:rsid w:val="002729B2"/>
    <w:rsid w:val="002811FD"/>
    <w:rsid w:val="00290301"/>
    <w:rsid w:val="002B595D"/>
    <w:rsid w:val="002E6367"/>
    <w:rsid w:val="002F4FB3"/>
    <w:rsid w:val="003205D4"/>
    <w:rsid w:val="00334DF3"/>
    <w:rsid w:val="00345AF4"/>
    <w:rsid w:val="00351AD5"/>
    <w:rsid w:val="00393274"/>
    <w:rsid w:val="003B5D1E"/>
    <w:rsid w:val="003D431D"/>
    <w:rsid w:val="003F5170"/>
    <w:rsid w:val="00403F8D"/>
    <w:rsid w:val="0041086D"/>
    <w:rsid w:val="00420522"/>
    <w:rsid w:val="004305EE"/>
    <w:rsid w:val="00434F93"/>
    <w:rsid w:val="004701CC"/>
    <w:rsid w:val="004755ED"/>
    <w:rsid w:val="00487602"/>
    <w:rsid w:val="00497D5C"/>
    <w:rsid w:val="004B25B8"/>
    <w:rsid w:val="004C2521"/>
    <w:rsid w:val="004C4EAC"/>
    <w:rsid w:val="004D21D0"/>
    <w:rsid w:val="004D5D0A"/>
    <w:rsid w:val="004E1DDA"/>
    <w:rsid w:val="00514D2C"/>
    <w:rsid w:val="00522E90"/>
    <w:rsid w:val="00525BE5"/>
    <w:rsid w:val="00536503"/>
    <w:rsid w:val="00554F9C"/>
    <w:rsid w:val="005829A1"/>
    <w:rsid w:val="005A70CA"/>
    <w:rsid w:val="005D32E1"/>
    <w:rsid w:val="005E1925"/>
    <w:rsid w:val="005E7650"/>
    <w:rsid w:val="0060379C"/>
    <w:rsid w:val="006039AD"/>
    <w:rsid w:val="00612C50"/>
    <w:rsid w:val="00624ECB"/>
    <w:rsid w:val="006567F7"/>
    <w:rsid w:val="006579F5"/>
    <w:rsid w:val="006742B3"/>
    <w:rsid w:val="006A5CC2"/>
    <w:rsid w:val="006A608E"/>
    <w:rsid w:val="006E72D7"/>
    <w:rsid w:val="007108CD"/>
    <w:rsid w:val="007177D1"/>
    <w:rsid w:val="00720C9F"/>
    <w:rsid w:val="007665AA"/>
    <w:rsid w:val="007B19BA"/>
    <w:rsid w:val="007B3DEC"/>
    <w:rsid w:val="007C7FC3"/>
    <w:rsid w:val="007D0022"/>
    <w:rsid w:val="007D3525"/>
    <w:rsid w:val="008022DD"/>
    <w:rsid w:val="0081327D"/>
    <w:rsid w:val="0081548A"/>
    <w:rsid w:val="0082434D"/>
    <w:rsid w:val="00844FA1"/>
    <w:rsid w:val="0089173E"/>
    <w:rsid w:val="008C63B3"/>
    <w:rsid w:val="009035A8"/>
    <w:rsid w:val="009354D1"/>
    <w:rsid w:val="00937BCB"/>
    <w:rsid w:val="00942C6E"/>
    <w:rsid w:val="00961E0A"/>
    <w:rsid w:val="009648CA"/>
    <w:rsid w:val="009741D3"/>
    <w:rsid w:val="009A7EC6"/>
    <w:rsid w:val="009B22B0"/>
    <w:rsid w:val="009D2141"/>
    <w:rsid w:val="009D73D1"/>
    <w:rsid w:val="009E353E"/>
    <w:rsid w:val="009E4134"/>
    <w:rsid w:val="00A05A08"/>
    <w:rsid w:val="00A12581"/>
    <w:rsid w:val="00A13F91"/>
    <w:rsid w:val="00A43CA2"/>
    <w:rsid w:val="00A55438"/>
    <w:rsid w:val="00A661C4"/>
    <w:rsid w:val="00A7434F"/>
    <w:rsid w:val="00A81F40"/>
    <w:rsid w:val="00AB45BC"/>
    <w:rsid w:val="00AE7D59"/>
    <w:rsid w:val="00AF3E94"/>
    <w:rsid w:val="00B119EF"/>
    <w:rsid w:val="00B1479E"/>
    <w:rsid w:val="00B148C4"/>
    <w:rsid w:val="00B3575A"/>
    <w:rsid w:val="00B377A7"/>
    <w:rsid w:val="00B54A8D"/>
    <w:rsid w:val="00B563A9"/>
    <w:rsid w:val="00B622E6"/>
    <w:rsid w:val="00BB0C83"/>
    <w:rsid w:val="00BC3769"/>
    <w:rsid w:val="00C02B23"/>
    <w:rsid w:val="00C2392A"/>
    <w:rsid w:val="00C46ED6"/>
    <w:rsid w:val="00C70473"/>
    <w:rsid w:val="00C80F1A"/>
    <w:rsid w:val="00C874F3"/>
    <w:rsid w:val="00C931C5"/>
    <w:rsid w:val="00CA3E72"/>
    <w:rsid w:val="00CA6BC8"/>
    <w:rsid w:val="00CB6C1B"/>
    <w:rsid w:val="00CB6EA7"/>
    <w:rsid w:val="00CB7D6E"/>
    <w:rsid w:val="00CD39A0"/>
    <w:rsid w:val="00CE6C10"/>
    <w:rsid w:val="00CF3E3D"/>
    <w:rsid w:val="00D220A4"/>
    <w:rsid w:val="00D2427D"/>
    <w:rsid w:val="00D24608"/>
    <w:rsid w:val="00D32375"/>
    <w:rsid w:val="00D43FE6"/>
    <w:rsid w:val="00D540AB"/>
    <w:rsid w:val="00DF5EF5"/>
    <w:rsid w:val="00E14A9E"/>
    <w:rsid w:val="00E25DE0"/>
    <w:rsid w:val="00E322BB"/>
    <w:rsid w:val="00E368BA"/>
    <w:rsid w:val="00E455B3"/>
    <w:rsid w:val="00E51B7A"/>
    <w:rsid w:val="00E601A7"/>
    <w:rsid w:val="00E77F09"/>
    <w:rsid w:val="00E826A0"/>
    <w:rsid w:val="00E922AD"/>
    <w:rsid w:val="00EB062A"/>
    <w:rsid w:val="00EB43CC"/>
    <w:rsid w:val="00EC2BE6"/>
    <w:rsid w:val="00EC559E"/>
    <w:rsid w:val="00ED021F"/>
    <w:rsid w:val="00EF750F"/>
    <w:rsid w:val="00F006D5"/>
    <w:rsid w:val="00F01A15"/>
    <w:rsid w:val="00F07535"/>
    <w:rsid w:val="00F07B71"/>
    <w:rsid w:val="00F12E5A"/>
    <w:rsid w:val="00F16007"/>
    <w:rsid w:val="00F5033F"/>
    <w:rsid w:val="00F90D58"/>
    <w:rsid w:val="00F91022"/>
    <w:rsid w:val="00F930AA"/>
    <w:rsid w:val="00FB6CE9"/>
    <w:rsid w:val="00FE6B8A"/>
    <w:rsid w:val="00FF2CCE"/>
    <w:rsid w:val="00FF343C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0A91485"/>
  <w15:chartTrackingRefBased/>
  <w15:docId w15:val="{01433292-19A5-406A-BF87-9BDBFF4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E6"/>
  </w:style>
  <w:style w:type="paragraph" w:styleId="Footer">
    <w:name w:val="footer"/>
    <w:basedOn w:val="Normal"/>
    <w:link w:val="FooterChar"/>
    <w:uiPriority w:val="99"/>
    <w:unhideWhenUsed/>
    <w:rsid w:val="00D4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E6"/>
  </w:style>
  <w:style w:type="character" w:styleId="Hyperlink">
    <w:name w:val="Hyperlink"/>
    <w:basedOn w:val="DefaultParagraphFont"/>
    <w:uiPriority w:val="99"/>
    <w:unhideWhenUsed/>
    <w:rsid w:val="00D43F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D59"/>
    <w:pPr>
      <w:ind w:left="720"/>
      <w:contextualSpacing/>
    </w:pPr>
  </w:style>
  <w:style w:type="paragraph" w:customStyle="1" w:styleId="Default">
    <w:name w:val="Default"/>
    <w:rsid w:val="00334DF3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bulletundertext">
    <w:name w:val="bullet (under text)"/>
    <w:rsid w:val="0006047E"/>
    <w:pPr>
      <w:numPr>
        <w:numId w:val="8"/>
      </w:numPr>
      <w:spacing w:after="240" w:line="288" w:lineRule="auto"/>
    </w:pPr>
    <w:rPr>
      <w:rFonts w:eastAsia="Times New Roman" w:cs="Arial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9E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9EF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1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devon.gov.uk/support-schools-settings/school-effectiveness/teaching-and-learning/curriculum/englis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68DAB3517BE4588B678FAA637A3AC" ma:contentTypeVersion="2" ma:contentTypeDescription="Create a new document." ma:contentTypeScope="" ma:versionID="1fef44df641e2a9afa02b93678ea90b5">
  <xsd:schema xmlns:xsd="http://www.w3.org/2001/XMLSchema" xmlns:xs="http://www.w3.org/2001/XMLSchema" xmlns:p="http://schemas.microsoft.com/office/2006/metadata/properties" xmlns:ns2="35973637-4dfc-4bfe-a19e-8b231390e213" targetNamespace="http://schemas.microsoft.com/office/2006/metadata/properties" ma:root="true" ma:fieldsID="5f8a35efcbed01363aa2d22d4d5d1858" ns2:_="">
    <xsd:import namespace="35973637-4dfc-4bfe-a19e-8b231390e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3637-4dfc-4bfe-a19e-8b231390e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BE4B8-F7B5-4C43-A2CD-9751A0313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7725C-4CB2-4944-9C36-5855A2C20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3637-4dfc-4bfe-a19e-8b231390e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388F3-916D-425E-A049-A31769B2F839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A452A459-3F41-46B9-9F5B-935BA042E076}">
  <ds:schemaRefs>
    <ds:schemaRef ds:uri="35973637-4dfc-4bfe-a19e-8b231390e21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 Corporate Services Ltd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New, Rebecca</dc:creator>
  <cp:keywords/>
  <dc:description/>
  <cp:lastModifiedBy>Sally Watts</cp:lastModifiedBy>
  <cp:revision>6</cp:revision>
  <dcterms:created xsi:type="dcterms:W3CDTF">2022-10-24T12:16:00Z</dcterms:created>
  <dcterms:modified xsi:type="dcterms:W3CDTF">2023-02-23T14:18:00Z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f9482282-7ce2-40c7-b493-d31465506c9a</vt:lpwstr>
  </property>
  <property fmtid="{D5CDD505-2E9C-101B-9397-08002B2CF9AE}" pid="3" name="bjSaver">
    <vt:lpwstr>Bzy3u3dMfoY7PsqGF7m4XXObHgwkY8wp</vt:lpwstr>
  </property>
  <property fmtid="{D5CDD505-2E9C-101B-9397-08002B2CF9AE}" pid="4" name="bjDocumentSecurityLabel">
    <vt:lpwstr> UNCLASSIFIED </vt:lpwstr>
  </property>
  <property fmtid="{D5CDD505-2E9C-101B-9397-08002B2CF9AE}" pid="5" name="Babcock_Classification">
    <vt:lpwstr>UNCLASSIFIED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policy="083da476-be4d-4e08-8a0c-df0654bf169a"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8" name="bjClsUserRVM">
    <vt:lpwstr>[]</vt:lpwstr>
  </property>
  <property fmtid="{D5CDD505-2E9C-101B-9397-08002B2CF9AE}" pid="9" name="ContentTypeId">
    <vt:lpwstr>0x01010014768DAB3517BE4588B678FAA637A3AC</vt:lpwstr>
  </property>
</Properties>
</file>